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rsidRPr="0099157E">
        <w:trPr>
          <w:jc w:val="center"/>
        </w:trPr>
        <w:tc>
          <w:tcPr>
            <w:tcW w:w="743" w:type="dxa"/>
          </w:tcPr>
          <w:p w:rsidR="002914D6" w:rsidRPr="0099157E" w:rsidRDefault="00011212">
            <w:pPr>
              <w:jc w:val="both"/>
              <w:rPr>
                <w:rFonts w:ascii="Arial" w:hAnsi="Arial"/>
                <w:b/>
                <w:bCs/>
              </w:rPr>
            </w:pPr>
            <w:r w:rsidRPr="0099157E">
              <w:rPr>
                <w:rFonts w:ascii="Arial" w:hAnsi="Arial" w:hint="cs"/>
                <w:b/>
                <w:bCs/>
                <w:rtl/>
              </w:rPr>
              <w:t>ב</w:t>
            </w:r>
            <w:r w:rsidRPr="0099157E">
              <w:rPr>
                <w:rFonts w:ascii="Arial" w:hAnsi="Arial"/>
                <w:b/>
                <w:bCs/>
                <w:rtl/>
              </w:rPr>
              <w:t xml:space="preserve">פני </w:t>
            </w:r>
          </w:p>
        </w:tc>
        <w:tc>
          <w:tcPr>
            <w:tcW w:w="8077" w:type="dxa"/>
            <w:gridSpan w:val="2"/>
          </w:tcPr>
          <w:p w:rsidR="002914D6" w:rsidRPr="0099157E" w:rsidRDefault="00011212">
            <w:pPr>
              <w:rPr>
                <w:rFonts w:ascii="Arial" w:hAnsi="Arial"/>
                <w:b/>
                <w:bCs/>
                <w:rtl/>
              </w:rPr>
            </w:pPr>
            <w:r w:rsidRPr="0099157E">
              <w:rPr>
                <w:rFonts w:ascii="Arial" w:hAnsi="Arial" w:hint="cs"/>
                <w:b/>
                <w:bCs/>
                <w:rtl/>
              </w:rPr>
              <w:t>כב' ה</w:t>
            </w:r>
            <w:sdt>
              <w:sdtPr>
                <w:rPr>
                  <w:rtl/>
                </w:rPr>
                <w:alias w:val="1574"/>
                <w:tag w:val="1574"/>
                <w:id w:val="1747146877"/>
                <w:text w:multiLine="1"/>
              </w:sdtPr>
              <w:sdtEndPr/>
              <w:sdtContent>
                <w:r w:rsidRPr="0099157E">
                  <w:rPr>
                    <w:rFonts w:ascii="Arial" w:hAnsi="Arial"/>
                    <w:b/>
                    <w:bCs/>
                    <w:rtl/>
                  </w:rPr>
                  <w:t>שופטת</w:t>
                </w:r>
              </w:sdtContent>
            </w:sdt>
            <w:r w:rsidRPr="0099157E">
              <w:rPr>
                <w:rFonts w:ascii="Arial" w:hAnsi="Arial" w:hint="cs"/>
                <w:b/>
                <w:bCs/>
                <w:rtl/>
              </w:rPr>
              <w:t xml:space="preserve">  </w:t>
            </w:r>
            <w:sdt>
              <w:sdtPr>
                <w:rPr>
                  <w:rtl/>
                </w:rPr>
                <w:alias w:val="1573"/>
                <w:tag w:val="1573"/>
                <w:id w:val="320551012"/>
                <w:text w:multiLine="1"/>
              </w:sdtPr>
              <w:sdtEndPr/>
              <w:sdtContent>
                <w:r w:rsidRPr="0099157E">
                  <w:rPr>
                    <w:rFonts w:ascii="Arial" w:hAnsi="Arial"/>
                    <w:b/>
                    <w:bCs/>
                    <w:rtl/>
                  </w:rPr>
                  <w:t>מיכל ברדנשטיין</w:t>
                </w:r>
              </w:sdtContent>
            </w:sdt>
          </w:p>
          <w:p w:rsidR="002914D6" w:rsidRPr="0099157E" w:rsidRDefault="002914D6">
            <w:pPr>
              <w:rPr>
                <w:rFonts w:ascii="Arial" w:hAnsi="Arial" w:cs="FrankRuehl"/>
                <w:sz w:val="28"/>
                <w:szCs w:val="28"/>
              </w:rPr>
            </w:pPr>
          </w:p>
        </w:tc>
      </w:tr>
      <w:tr w:rsidR="002914D6" w:rsidRPr="0099157E">
        <w:trPr>
          <w:jc w:val="center"/>
        </w:trPr>
        <w:tc>
          <w:tcPr>
            <w:tcW w:w="3249" w:type="dxa"/>
            <w:gridSpan w:val="2"/>
          </w:tcPr>
          <w:p w:rsidR="002914D6" w:rsidRPr="0099157E" w:rsidRDefault="002914D6">
            <w:pPr>
              <w:bidi w:val="0"/>
              <w:jc w:val="right"/>
              <w:rPr>
                <w:rFonts w:ascii="Arial" w:hAnsi="Arial"/>
                <w:b/>
                <w:bCs/>
                <w:noProof w:val="0"/>
                <w:sz w:val="26"/>
                <w:szCs w:val="26"/>
              </w:rPr>
            </w:pPr>
          </w:p>
          <w:sdt>
            <w:sdtPr>
              <w:alias w:val="1180"/>
              <w:tag w:val="1180"/>
              <w:id w:val="-1016538661"/>
              <w:text w:multiLine="1"/>
            </w:sdtPr>
            <w:sdtEndPr/>
            <w:sdtContent>
              <w:p w:rsidR="008B1154" w:rsidRPr="0099157E" w:rsidRDefault="00FE17CC">
                <w:pPr>
                  <w:bidi w:val="0"/>
                  <w:jc w:val="right"/>
                  <w:rPr>
                    <w:rFonts w:ascii="Arial" w:hAnsi="Arial"/>
                    <w:b/>
                    <w:bCs/>
                    <w:noProof w:val="0"/>
                    <w:sz w:val="26"/>
                    <w:szCs w:val="26"/>
                    <w:rtl/>
                  </w:rPr>
                </w:pPr>
                <w:r w:rsidRPr="0099157E">
                  <w:rPr>
                    <w:rFonts w:ascii="Arial" w:hAnsi="Arial"/>
                    <w:b/>
                    <w:bCs/>
                    <w:noProof w:val="0"/>
                    <w:sz w:val="26"/>
                    <w:szCs w:val="26"/>
                    <w:rtl/>
                  </w:rPr>
                  <w:t>תובע</w:t>
                </w:r>
              </w:p>
            </w:sdtContent>
          </w:sdt>
        </w:tc>
        <w:tc>
          <w:tcPr>
            <w:tcW w:w="5571" w:type="dxa"/>
          </w:tcPr>
          <w:p w:rsidR="002914D6" w:rsidRPr="0099157E" w:rsidRDefault="002914D6">
            <w:pPr>
              <w:rPr>
                <w:rFonts w:ascii="Arial" w:hAnsi="Arial"/>
                <w:b/>
                <w:bCs/>
                <w:noProof w:val="0"/>
                <w:sz w:val="26"/>
                <w:szCs w:val="26"/>
              </w:rPr>
            </w:pPr>
          </w:p>
          <w:p w:rsidR="00000099" w:rsidRDefault="00000099" w:rsidP="00000099">
            <w:pPr>
              <w:rPr>
                <w:rFonts w:ascii="Arial" w:hAnsi="Arial"/>
                <w:b/>
                <w:bCs/>
                <w:noProof w:val="0"/>
                <w:sz w:val="26"/>
                <w:szCs w:val="26"/>
                <w:rtl/>
              </w:rPr>
            </w:pPr>
            <w:r>
              <w:rPr>
                <w:rFonts w:ascii="Arial" w:hAnsi="Arial" w:hint="cs"/>
                <w:b/>
                <w:bCs/>
                <w:noProof w:val="0"/>
                <w:sz w:val="26"/>
                <w:szCs w:val="26"/>
                <w:rtl/>
              </w:rPr>
              <w:t>פלוני</w:t>
            </w:r>
          </w:p>
          <w:p w:rsidR="002914D6" w:rsidRPr="0099157E" w:rsidRDefault="00896A62" w:rsidP="00000099">
            <w:pPr>
              <w:rPr>
                <w:b/>
                <w:bCs/>
                <w:noProof w:val="0"/>
                <w:sz w:val="26"/>
                <w:szCs w:val="26"/>
              </w:rPr>
            </w:pPr>
            <w:sdt>
              <w:sdtPr>
                <w:rPr>
                  <w:rtl/>
                </w:rPr>
                <w:alias w:val="2316"/>
                <w:tag w:val="2316"/>
                <w:id w:val="1719778497"/>
                <w:text w:multiLine="1"/>
              </w:sdtPr>
              <w:sdtEndPr/>
              <w:sdtContent>
                <w:r w:rsidR="00FE17CC" w:rsidRPr="0099157E">
                  <w:rPr>
                    <w:rFonts w:hint="cs"/>
                    <w:rtl/>
                  </w:rPr>
                  <w:t>על ידי עו"ד באסל אסמעיל</w:t>
                </w:r>
              </w:sdtContent>
            </w:sdt>
          </w:p>
        </w:tc>
      </w:tr>
      <w:tr w:rsidR="002914D6" w:rsidRPr="0099157E">
        <w:trPr>
          <w:jc w:val="center"/>
        </w:trPr>
        <w:tc>
          <w:tcPr>
            <w:tcW w:w="8820" w:type="dxa"/>
            <w:gridSpan w:val="3"/>
          </w:tcPr>
          <w:p w:rsidR="002914D6" w:rsidRPr="0099157E" w:rsidRDefault="002914D6">
            <w:pPr>
              <w:rPr>
                <w:rFonts w:ascii="Arial" w:hAnsi="Arial"/>
                <w:b/>
                <w:bCs/>
                <w:noProof w:val="0"/>
                <w:sz w:val="26"/>
                <w:szCs w:val="26"/>
                <w:rtl/>
              </w:rPr>
            </w:pPr>
          </w:p>
          <w:p w:rsidR="002914D6" w:rsidRPr="0099157E" w:rsidRDefault="00011212">
            <w:pPr>
              <w:jc w:val="center"/>
              <w:rPr>
                <w:rFonts w:ascii="Arial" w:hAnsi="Arial"/>
                <w:b/>
                <w:bCs/>
                <w:noProof w:val="0"/>
                <w:sz w:val="26"/>
                <w:szCs w:val="26"/>
                <w:rtl/>
              </w:rPr>
            </w:pPr>
            <w:r w:rsidRPr="0099157E">
              <w:rPr>
                <w:rFonts w:ascii="Arial" w:hAnsi="Arial"/>
                <w:b/>
                <w:bCs/>
                <w:noProof w:val="0"/>
                <w:sz w:val="26"/>
                <w:szCs w:val="26"/>
                <w:rtl/>
              </w:rPr>
              <w:t>נגד</w:t>
            </w:r>
          </w:p>
          <w:p w:rsidR="002914D6" w:rsidRPr="0099157E" w:rsidRDefault="002914D6">
            <w:pPr>
              <w:rPr>
                <w:rFonts w:ascii="Arial" w:hAnsi="Arial"/>
                <w:b/>
                <w:bCs/>
                <w:noProof w:val="0"/>
                <w:sz w:val="26"/>
                <w:szCs w:val="26"/>
              </w:rPr>
            </w:pPr>
          </w:p>
        </w:tc>
      </w:tr>
      <w:tr w:rsidR="002914D6" w:rsidRPr="0099157E">
        <w:trPr>
          <w:jc w:val="center"/>
        </w:trPr>
        <w:tc>
          <w:tcPr>
            <w:tcW w:w="3249" w:type="dxa"/>
            <w:gridSpan w:val="2"/>
          </w:tcPr>
          <w:p w:rsidR="002914D6" w:rsidRPr="0099157E" w:rsidRDefault="002914D6">
            <w:pPr>
              <w:rPr>
                <w:rFonts w:ascii="Arial" w:hAnsi="Arial"/>
                <w:b/>
                <w:bCs/>
                <w:noProof w:val="0"/>
                <w:sz w:val="26"/>
                <w:szCs w:val="26"/>
                <w:rtl/>
              </w:rPr>
            </w:pPr>
          </w:p>
          <w:p w:rsidR="002914D6" w:rsidRPr="0099157E" w:rsidRDefault="00896A62">
            <w:pPr>
              <w:rPr>
                <w:rFonts w:ascii="Arial" w:hAnsi="Arial"/>
                <w:b/>
                <w:bCs/>
                <w:noProof w:val="0"/>
                <w:sz w:val="26"/>
                <w:szCs w:val="26"/>
              </w:rPr>
            </w:pPr>
            <w:sdt>
              <w:sdtPr>
                <w:rPr>
                  <w:rtl/>
                </w:rPr>
                <w:alias w:val="1184"/>
                <w:tag w:val="1184"/>
                <w:id w:val="-35981914"/>
                <w:text w:multiLine="1"/>
              </w:sdtPr>
              <w:sdtEndPr/>
              <w:sdtContent>
                <w:r w:rsidR="00521467" w:rsidRPr="0099157E">
                  <w:rPr>
                    <w:rFonts w:ascii="Arial" w:hAnsi="Arial"/>
                    <w:b/>
                    <w:bCs/>
                    <w:noProof w:val="0"/>
                    <w:sz w:val="26"/>
                    <w:szCs w:val="26"/>
                    <w:rtl/>
                  </w:rPr>
                  <w:t>נתבעים</w:t>
                </w:r>
              </w:sdtContent>
            </w:sdt>
          </w:p>
        </w:tc>
        <w:tc>
          <w:tcPr>
            <w:tcW w:w="5571" w:type="dxa"/>
          </w:tcPr>
          <w:p w:rsidR="002914D6" w:rsidRPr="0099157E" w:rsidRDefault="002914D6">
            <w:pPr>
              <w:rPr>
                <w:rFonts w:ascii="Arial" w:hAnsi="Arial"/>
                <w:b/>
                <w:bCs/>
                <w:noProof w:val="0"/>
                <w:sz w:val="26"/>
                <w:szCs w:val="26"/>
                <w:rtl/>
              </w:rPr>
            </w:pPr>
          </w:p>
          <w:p w:rsidR="002914D6" w:rsidRPr="0099157E" w:rsidRDefault="00000099" w:rsidP="00000099">
            <w:pPr>
              <w:rPr>
                <w:b/>
                <w:bCs/>
                <w:noProof w:val="0"/>
                <w:sz w:val="26"/>
                <w:szCs w:val="26"/>
                <w:rtl/>
              </w:rPr>
            </w:pPr>
            <w:r>
              <w:rPr>
                <w:rFonts w:ascii="Arial" w:hAnsi="Arial" w:hint="cs"/>
                <w:b/>
                <w:bCs/>
                <w:noProof w:val="0"/>
                <w:sz w:val="26"/>
                <w:szCs w:val="26"/>
                <w:rtl/>
              </w:rPr>
              <w:t>אלמונית</w:t>
            </w:r>
            <w:sdt>
              <w:sdtPr>
                <w:rPr>
                  <w:rtl/>
                </w:rPr>
                <w:alias w:val="2318"/>
                <w:tag w:val="2318"/>
                <w:id w:val="-2129076223"/>
                <w:text w:multiLine="1"/>
              </w:sdtPr>
              <w:sdtEndPr/>
              <w:sdtContent>
                <w:r w:rsidR="00FE17CC" w:rsidRPr="0099157E">
                  <w:rPr>
                    <w:rFonts w:ascii="Arial" w:hAnsi="Arial"/>
                    <w:b/>
                    <w:bCs/>
                    <w:noProof w:val="0"/>
                    <w:sz w:val="26"/>
                    <w:szCs w:val="26"/>
                    <w:rtl/>
                  </w:rPr>
                  <w:br/>
                </w:r>
                <w:r w:rsidR="00FE17CC" w:rsidRPr="0099157E">
                  <w:rPr>
                    <w:rFonts w:hint="cs"/>
                    <w:rtl/>
                  </w:rPr>
                  <w:t>על ידי עו"ד יוני ג'ורנו</w:t>
                </w:r>
              </w:sdtContent>
            </w:sdt>
          </w:p>
        </w:tc>
      </w:tr>
      <w:tr w:rsidR="00F03998" w:rsidRPr="0099157E" w:rsidTr="00260701">
        <w:trPr>
          <w:jc w:val="center"/>
        </w:trPr>
        <w:tc>
          <w:tcPr>
            <w:tcW w:w="8820" w:type="dxa"/>
            <w:gridSpan w:val="3"/>
          </w:tcPr>
          <w:p w:rsidR="008B1154" w:rsidRPr="0099157E" w:rsidRDefault="008B1154">
            <w:pPr>
              <w:rPr>
                <w:b/>
                <w:bCs/>
                <w:sz w:val="26"/>
                <w:szCs w:val="26"/>
              </w:rPr>
            </w:pPr>
          </w:p>
          <w:p w:rsidR="00F03998" w:rsidRPr="0099157E" w:rsidRDefault="00F03998">
            <w:pPr>
              <w:rPr>
                <w:rFonts w:ascii="Arial" w:hAnsi="Arial"/>
                <w:b/>
                <w:bCs/>
                <w:noProof w:val="0"/>
                <w:sz w:val="26"/>
                <w:szCs w:val="26"/>
                <w:rtl/>
              </w:rPr>
            </w:pPr>
          </w:p>
        </w:tc>
      </w:tr>
    </w:tbl>
    <w:p w:rsidR="002914D6" w:rsidRPr="0099157E"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rsidRPr="0099157E">
        <w:trPr>
          <w:jc w:val="center"/>
        </w:trPr>
        <w:tc>
          <w:tcPr>
            <w:tcW w:w="8820" w:type="dxa"/>
          </w:tcPr>
          <w:p w:rsidR="00F03998" w:rsidRPr="0099157E" w:rsidRDefault="00F03998" w:rsidP="00F03998">
            <w:pPr>
              <w:bidi w:val="0"/>
              <w:jc w:val="center"/>
              <w:rPr>
                <w:rFonts w:ascii="Arial" w:hAnsi="Arial"/>
                <w:b/>
                <w:bCs/>
                <w:noProof w:val="0"/>
                <w:sz w:val="26"/>
                <w:szCs w:val="26"/>
                <w:u w:val="single"/>
              </w:rPr>
            </w:pPr>
          </w:p>
          <w:p w:rsidR="00F03998" w:rsidRPr="0099157E" w:rsidRDefault="00F03998" w:rsidP="00F03998">
            <w:pPr>
              <w:bidi w:val="0"/>
              <w:jc w:val="center"/>
              <w:rPr>
                <w:rFonts w:ascii="Arial" w:hAnsi="Arial"/>
                <w:b/>
                <w:bCs/>
                <w:noProof w:val="0"/>
                <w:sz w:val="28"/>
                <w:szCs w:val="28"/>
                <w:u w:val="single"/>
              </w:rPr>
            </w:pPr>
            <w:r w:rsidRPr="0099157E">
              <w:rPr>
                <w:rFonts w:ascii="Arial" w:hAnsi="Arial"/>
                <w:b/>
                <w:bCs/>
                <w:noProof w:val="0"/>
                <w:sz w:val="28"/>
                <w:szCs w:val="28"/>
                <w:u w:val="single"/>
                <w:rtl/>
              </w:rPr>
              <w:t>פסק דין</w:t>
            </w:r>
          </w:p>
        </w:tc>
      </w:tr>
    </w:tbl>
    <w:p w:rsidR="002914D6" w:rsidRPr="0099157E" w:rsidRDefault="002914D6">
      <w:pPr>
        <w:spacing w:line="360" w:lineRule="auto"/>
        <w:jc w:val="both"/>
        <w:rPr>
          <w:rFonts w:ascii="Arial" w:hAnsi="Arial"/>
          <w:noProof w:val="0"/>
          <w:rtl/>
        </w:rPr>
      </w:pPr>
    </w:p>
    <w:p w:rsidR="002914D6" w:rsidRPr="0099157E" w:rsidRDefault="002914D6">
      <w:pPr>
        <w:spacing w:line="360" w:lineRule="auto"/>
        <w:jc w:val="both"/>
        <w:rPr>
          <w:rFonts w:ascii="Arial" w:hAnsi="Arial"/>
          <w:noProof w:val="0"/>
          <w:rtl/>
        </w:rPr>
      </w:pPr>
    </w:p>
    <w:p w:rsidR="002914D6" w:rsidRPr="0099157E" w:rsidRDefault="002914D6">
      <w:pPr>
        <w:spacing w:line="360" w:lineRule="auto"/>
        <w:jc w:val="both"/>
        <w:rPr>
          <w:rFonts w:ascii="Arial" w:hAnsi="Arial"/>
          <w:noProof w:val="0"/>
          <w:rtl/>
        </w:rPr>
      </w:pPr>
    </w:p>
    <w:p w:rsidR="00FE17CC" w:rsidRPr="0099157E" w:rsidRDefault="00FE17CC" w:rsidP="00FE17CC">
      <w:pPr>
        <w:pStyle w:val="af"/>
        <w:spacing w:line="360" w:lineRule="auto"/>
        <w:jc w:val="both"/>
      </w:pPr>
      <w:r w:rsidRPr="0099157E">
        <w:rPr>
          <w:rFonts w:hint="cs"/>
          <w:rtl/>
        </w:rPr>
        <w:t xml:space="preserve">לפניי תביעת כספית על סך 130,000 ₪ בעילת לשון הרע ובעילת פגיעה בפרטיות, שהגיש התובע נגד כלתו לשעבר, בגין תכונות ומעשים שליליים שיוחסו לו בכתב תביעה שהגישה הנתבעת לבית הדין הרבני נגד בעלה לשעבר, בנו של התובע, במסגרת סכסוך גירושין בין השניים. התובע ורעייתו נחשפו לדברים בחודש אוקטובר 2023, לאחר שכתב התביעה נשלח בדואר רשום שהיה ממוען לבנם לסניף הדואר בכתובת מגוריהם. זאת, בין היתר, בנסיבות שבהן, בנם, שהיה מגויס למלחמת "חרבות ברזל" בצו 8, ביקש מאביו התובע לקבל עבורו את דבר הדואר, לפתוח אותו ולעיין בו כדי לעדכנו במה המדובר. </w:t>
      </w:r>
    </w:p>
    <w:p w:rsidR="00FE17CC" w:rsidRPr="0099157E" w:rsidRDefault="00FE17CC" w:rsidP="00FE17CC">
      <w:pPr>
        <w:pStyle w:val="af"/>
        <w:spacing w:line="360" w:lineRule="auto"/>
        <w:jc w:val="both"/>
        <w:rPr>
          <w:rtl/>
        </w:rPr>
      </w:pPr>
    </w:p>
    <w:p w:rsidR="00FE17CC" w:rsidRPr="0099157E" w:rsidRDefault="00FE17CC" w:rsidP="00FE17CC">
      <w:pPr>
        <w:pStyle w:val="af"/>
        <w:spacing w:line="360" w:lineRule="auto"/>
        <w:jc w:val="both"/>
        <w:rPr>
          <w:rtl/>
        </w:rPr>
      </w:pPr>
      <w:r w:rsidRPr="0099157E">
        <w:rPr>
          <w:rFonts w:hint="cs"/>
          <w:rtl/>
        </w:rPr>
        <w:t xml:space="preserve">השאלה שעומדת לדיון היא האם חל במקרה דנן סעיף 13(5) לחוק אישור לשון הרע, תשכ"ה -1965 (להלן: </w:t>
      </w:r>
      <w:r w:rsidRPr="0099157E">
        <w:rPr>
          <w:rFonts w:hint="cs"/>
          <w:b/>
          <w:bCs/>
          <w:rtl/>
        </w:rPr>
        <w:t>חוק איסור לשון הרע</w:t>
      </w:r>
      <w:r w:rsidRPr="0099157E">
        <w:rPr>
          <w:rFonts w:hint="cs"/>
          <w:rtl/>
        </w:rPr>
        <w:t xml:space="preserve"> או </w:t>
      </w:r>
      <w:r w:rsidRPr="0099157E">
        <w:rPr>
          <w:rFonts w:hint="cs"/>
          <w:b/>
          <w:bCs/>
          <w:rtl/>
        </w:rPr>
        <w:t>החוק</w:t>
      </w:r>
      <w:r w:rsidRPr="0099157E">
        <w:rPr>
          <w:rFonts w:hint="cs"/>
          <w:rtl/>
        </w:rPr>
        <w:t xml:space="preserve">), הקובע סייג לאחריות לפי החוק בשל פרסום של בעל דין תוך כדי דיון בפני גורם משפטי - סייג החל גם ביחס לפגיעות בפרטיות לפי סע' 18(1) לחוק הגנת הפרטיות, תשמ"א – 1981 (להלן: </w:t>
      </w:r>
      <w:r w:rsidRPr="0099157E">
        <w:rPr>
          <w:rFonts w:hint="cs"/>
          <w:b/>
          <w:bCs/>
          <w:rtl/>
        </w:rPr>
        <w:t>חוק הגנת הפרטיות</w:t>
      </w:r>
      <w:r w:rsidRPr="0099157E">
        <w:rPr>
          <w:rFonts w:hint="cs"/>
          <w:rtl/>
        </w:rPr>
        <w:t xml:space="preserve">). </w:t>
      </w:r>
    </w:p>
    <w:p w:rsidR="00FE17CC" w:rsidRPr="0099157E" w:rsidRDefault="00FE17CC" w:rsidP="00FE17CC">
      <w:pPr>
        <w:spacing w:line="360" w:lineRule="auto"/>
        <w:jc w:val="both"/>
        <w:rPr>
          <w:rtl/>
        </w:rPr>
      </w:pPr>
    </w:p>
    <w:p w:rsidR="00FE17CC" w:rsidRPr="0099157E" w:rsidRDefault="00FE17CC" w:rsidP="00FE17CC">
      <w:pPr>
        <w:pStyle w:val="af"/>
        <w:spacing w:line="360" w:lineRule="auto"/>
        <w:jc w:val="both"/>
        <w:rPr>
          <w:rtl/>
        </w:rPr>
      </w:pPr>
      <w:r w:rsidRPr="0099157E">
        <w:rPr>
          <w:rFonts w:hint="cs"/>
          <w:rtl/>
        </w:rPr>
        <w:t>ההפניה בפסק הדין למוצגים שנכללו בתיק המוצגים מטעם התובע שהוגש ביום 27.3.24 תהייה לשם הקיצור והנוחיות כאל מוצגים ת/1, ת/2 ואילך, ואילו ההפניה למוצגים שנכללו בתיק המוצגים מטעם הנתבעת שהוגש ביום 13.5.24, תהייה בהתאמה כאל מוצגים נ/1, נ/2 ואילך.</w:t>
      </w:r>
    </w:p>
    <w:p w:rsidR="00FE17CC" w:rsidRPr="0099157E" w:rsidRDefault="00FE17CC" w:rsidP="00FE17CC">
      <w:pPr>
        <w:pStyle w:val="af"/>
        <w:spacing w:line="360" w:lineRule="auto"/>
        <w:jc w:val="both"/>
        <w:rPr>
          <w:sz w:val="28"/>
          <w:szCs w:val="28"/>
          <w:rtl/>
        </w:rPr>
      </w:pPr>
    </w:p>
    <w:p w:rsidR="00FE17CC" w:rsidRPr="0099157E" w:rsidRDefault="00FE17CC" w:rsidP="00FE17CC">
      <w:pPr>
        <w:pStyle w:val="af"/>
        <w:spacing w:line="360" w:lineRule="auto"/>
        <w:jc w:val="both"/>
        <w:rPr>
          <w:sz w:val="28"/>
          <w:szCs w:val="28"/>
        </w:rPr>
      </w:pPr>
    </w:p>
    <w:p w:rsidR="00FE17CC" w:rsidRPr="0099157E" w:rsidRDefault="00FE17CC" w:rsidP="00FE17CC">
      <w:pPr>
        <w:pStyle w:val="af"/>
        <w:spacing w:line="360" w:lineRule="auto"/>
        <w:jc w:val="both"/>
        <w:rPr>
          <w:b/>
          <w:bCs/>
          <w:sz w:val="28"/>
          <w:szCs w:val="28"/>
          <w:u w:val="single"/>
          <w:rtl/>
        </w:rPr>
      </w:pPr>
      <w:r w:rsidRPr="0099157E">
        <w:rPr>
          <w:rFonts w:hint="cs"/>
          <w:b/>
          <w:bCs/>
          <w:sz w:val="28"/>
          <w:szCs w:val="28"/>
          <w:u w:val="single"/>
          <w:rtl/>
        </w:rPr>
        <w:lastRenderedPageBreak/>
        <w:t>רקע עובדתי רלבנטי</w:t>
      </w:r>
    </w:p>
    <w:p w:rsidR="00FE17CC" w:rsidRPr="0099157E" w:rsidRDefault="00FE17CC" w:rsidP="00FE17CC">
      <w:pPr>
        <w:spacing w:line="360" w:lineRule="auto"/>
        <w:jc w:val="both"/>
      </w:pPr>
    </w:p>
    <w:p w:rsidR="00FE17CC" w:rsidRPr="0099157E" w:rsidRDefault="00FE17CC" w:rsidP="00000099">
      <w:pPr>
        <w:pStyle w:val="David"/>
        <w:numPr>
          <w:ilvl w:val="0"/>
          <w:numId w:val="1"/>
        </w:numPr>
        <w:rPr>
          <w:rFonts w:ascii="David" w:hAnsi="David"/>
          <w:rtl/>
        </w:rPr>
      </w:pPr>
      <w:r w:rsidRPr="0099157E">
        <w:rPr>
          <w:rFonts w:ascii="David" w:hAnsi="David"/>
          <w:rtl/>
        </w:rPr>
        <w:t xml:space="preserve">הנתבעת הייתה נשואה עד לאחרונה לבנו של התובע, </w:t>
      </w:r>
      <w:r w:rsidR="00000099">
        <w:rPr>
          <w:rFonts w:ascii="David" w:hAnsi="David" w:hint="cs"/>
          <w:rtl/>
        </w:rPr>
        <w:t>....</w:t>
      </w:r>
      <w:r w:rsidRPr="0099157E">
        <w:rPr>
          <w:rFonts w:ascii="David" w:hAnsi="David"/>
          <w:rtl/>
        </w:rPr>
        <w:t xml:space="preserve"> (להלן:</w:t>
      </w:r>
      <w:r w:rsidRPr="000B607D">
        <w:rPr>
          <w:rFonts w:ascii="David" w:hAnsi="David"/>
          <w:rtl/>
        </w:rPr>
        <w:t xml:space="preserve"> </w:t>
      </w:r>
      <w:r w:rsidR="00000099" w:rsidRPr="000B607D">
        <w:rPr>
          <w:rFonts w:ascii="David" w:hAnsi="David" w:hint="cs"/>
          <w:rtl/>
        </w:rPr>
        <w:t>...</w:t>
      </w:r>
      <w:r w:rsidRPr="0099157E">
        <w:rPr>
          <w:rFonts w:ascii="David" w:hAnsi="David"/>
          <w:b/>
          <w:bCs/>
          <w:rtl/>
        </w:rPr>
        <w:t xml:space="preserve"> </w:t>
      </w:r>
      <w:r w:rsidRPr="0099157E">
        <w:rPr>
          <w:rFonts w:ascii="David" w:hAnsi="David"/>
          <w:rtl/>
        </w:rPr>
        <w:t xml:space="preserve">או </w:t>
      </w:r>
      <w:r w:rsidRPr="0099157E">
        <w:rPr>
          <w:rFonts w:ascii="David" w:hAnsi="David"/>
          <w:b/>
          <w:bCs/>
          <w:rtl/>
        </w:rPr>
        <w:t>הגרוש</w:t>
      </w:r>
      <w:r w:rsidRPr="0099157E">
        <w:rPr>
          <w:rFonts w:ascii="David" w:hAnsi="David"/>
          <w:rtl/>
        </w:rPr>
        <w:t xml:space="preserve">), במשך 7 שנים. בין השניים התגלע סכסוך הגירושין, ובני הזוג הפרידו מגוריהם בסוף חודש יולי 2023, ושניהם הגישו הליכי ישוב סכסוך. </w:t>
      </w:r>
    </w:p>
    <w:p w:rsidR="00FE17CC" w:rsidRPr="0099157E" w:rsidRDefault="00FE17CC" w:rsidP="00FE17CC">
      <w:pPr>
        <w:pStyle w:val="David"/>
        <w:ind w:left="720"/>
        <w:rPr>
          <w:rFonts w:ascii="David" w:hAnsi="David"/>
        </w:rPr>
      </w:pPr>
    </w:p>
    <w:p w:rsidR="00FE17CC" w:rsidRPr="0099157E" w:rsidRDefault="00FE17CC" w:rsidP="00000099">
      <w:pPr>
        <w:pStyle w:val="David"/>
        <w:numPr>
          <w:ilvl w:val="0"/>
          <w:numId w:val="1"/>
        </w:numPr>
        <w:rPr>
          <w:rFonts w:ascii="David" w:hAnsi="David"/>
        </w:rPr>
      </w:pPr>
      <w:r w:rsidRPr="0099157E">
        <w:rPr>
          <w:rFonts w:ascii="David" w:hAnsi="David"/>
          <w:rtl/>
        </w:rPr>
        <w:t xml:space="preserve">החל מיום 6.8.23 </w:t>
      </w:r>
      <w:r w:rsidR="00000099">
        <w:rPr>
          <w:rFonts w:ascii="David" w:hAnsi="David" w:hint="cs"/>
          <w:rtl/>
        </w:rPr>
        <w:t>הגרוש</w:t>
      </w:r>
      <w:r w:rsidRPr="0099157E">
        <w:rPr>
          <w:rFonts w:ascii="David" w:hAnsi="David"/>
          <w:rtl/>
        </w:rPr>
        <w:t xml:space="preserve"> שכר דירה בישוב </w:t>
      </w:r>
      <w:r w:rsidR="00000099">
        <w:rPr>
          <w:rFonts w:ascii="David" w:hAnsi="David"/>
        </w:rPr>
        <w:t>A</w:t>
      </w:r>
      <w:r w:rsidRPr="0099157E">
        <w:rPr>
          <w:rFonts w:ascii="David" w:hAnsi="David"/>
          <w:rtl/>
        </w:rPr>
        <w:t>.</w:t>
      </w:r>
    </w:p>
    <w:p w:rsidR="00FE17CC" w:rsidRPr="00000099" w:rsidRDefault="00FE17CC" w:rsidP="00FE17CC">
      <w:pPr>
        <w:pStyle w:val="David"/>
        <w:ind w:left="720"/>
        <w:rPr>
          <w:rFonts w:ascii="David" w:hAnsi="David"/>
        </w:rPr>
      </w:pPr>
    </w:p>
    <w:p w:rsidR="00FE17CC" w:rsidRPr="0099157E" w:rsidRDefault="00FE17CC" w:rsidP="00000099">
      <w:pPr>
        <w:pStyle w:val="David"/>
        <w:numPr>
          <w:ilvl w:val="0"/>
          <w:numId w:val="1"/>
        </w:numPr>
        <w:rPr>
          <w:rFonts w:ascii="David" w:hAnsi="David"/>
        </w:rPr>
      </w:pPr>
      <w:r w:rsidRPr="0099157E">
        <w:rPr>
          <w:rFonts w:ascii="David" w:hAnsi="David"/>
          <w:rtl/>
        </w:rPr>
        <w:t xml:space="preserve">ביום 16.10.23 הגישה הנתבעת תביעת גירושין כרוכה נגד </w:t>
      </w:r>
      <w:r w:rsidR="00000099">
        <w:rPr>
          <w:rFonts w:ascii="David" w:hAnsi="David"/>
          <w:rtl/>
        </w:rPr>
        <w:t>הגרוש</w:t>
      </w:r>
      <w:r w:rsidRPr="0099157E">
        <w:rPr>
          <w:rFonts w:ascii="David" w:hAnsi="David"/>
          <w:rtl/>
        </w:rPr>
        <w:t xml:space="preserve"> לבית הדין הרבני האזורי ב</w:t>
      </w:r>
      <w:r w:rsidR="00000099">
        <w:rPr>
          <w:rFonts w:ascii="David" w:hAnsi="David" w:hint="cs"/>
          <w:rtl/>
        </w:rPr>
        <w:t>...</w:t>
      </w:r>
      <w:r w:rsidRPr="0099157E">
        <w:rPr>
          <w:rFonts w:ascii="David" w:hAnsi="David"/>
          <w:rtl/>
        </w:rPr>
        <w:t>, שאליה נכרכו הנושאי משמורת</w:t>
      </w:r>
      <w:r w:rsidRPr="0099157E">
        <w:rPr>
          <w:rFonts w:ascii="David" w:hAnsi="David" w:hint="cs"/>
          <w:rtl/>
        </w:rPr>
        <w:t xml:space="preserve"> הקטינים ילדי בני הזוג</w:t>
      </w:r>
      <w:r w:rsidRPr="0099157E">
        <w:rPr>
          <w:rFonts w:ascii="David" w:hAnsi="David"/>
          <w:rtl/>
        </w:rPr>
        <w:t>, המזונות ורכוש הצדדים (כתב התביעה הוגש כ</w:t>
      </w:r>
      <w:r w:rsidRPr="0099157E">
        <w:rPr>
          <w:rFonts w:ascii="David" w:hAnsi="David"/>
          <w:b/>
          <w:bCs/>
          <w:u w:val="single"/>
          <w:rtl/>
        </w:rPr>
        <w:t>מוצג ת/2</w:t>
      </w:r>
      <w:r w:rsidRPr="0099157E">
        <w:rPr>
          <w:rFonts w:ascii="David" w:hAnsi="David"/>
          <w:rtl/>
        </w:rPr>
        <w:t xml:space="preserve">). כתובת מגוריו של </w:t>
      </w:r>
      <w:r w:rsidR="00000099">
        <w:rPr>
          <w:rFonts w:ascii="David" w:hAnsi="David" w:hint="cs"/>
          <w:rtl/>
        </w:rPr>
        <w:t>הגרוש</w:t>
      </w:r>
      <w:r w:rsidRPr="0099157E">
        <w:rPr>
          <w:rFonts w:ascii="David" w:hAnsi="David"/>
          <w:rtl/>
        </w:rPr>
        <w:t xml:space="preserve"> שנכתבה בכתב התביעה היא רחוב </w:t>
      </w:r>
      <w:r w:rsidR="0012127A">
        <w:rPr>
          <w:rFonts w:ascii="David" w:hAnsi="David" w:hint="cs"/>
          <w:rtl/>
        </w:rPr>
        <w:t>.</w:t>
      </w:r>
      <w:r w:rsidR="00000099">
        <w:rPr>
          <w:rFonts w:ascii="David" w:hAnsi="David" w:hint="cs"/>
          <w:rtl/>
        </w:rPr>
        <w:t>..</w:t>
      </w:r>
      <w:r w:rsidRPr="0099157E">
        <w:rPr>
          <w:rFonts w:ascii="David" w:hAnsi="David"/>
          <w:rtl/>
        </w:rPr>
        <w:t xml:space="preserve"> 6 ב</w:t>
      </w:r>
      <w:r w:rsidR="00000099">
        <w:rPr>
          <w:rFonts w:ascii="David" w:hAnsi="David" w:hint="cs"/>
          <w:rtl/>
        </w:rPr>
        <w:t>-</w:t>
      </w:r>
      <w:r w:rsidR="00000099">
        <w:rPr>
          <w:rFonts w:ascii="David" w:hAnsi="David"/>
        </w:rPr>
        <w:t>B</w:t>
      </w:r>
      <w:r w:rsidRPr="0099157E">
        <w:rPr>
          <w:rFonts w:ascii="David" w:hAnsi="David"/>
          <w:rtl/>
        </w:rPr>
        <w:t>.</w:t>
      </w:r>
      <w:r w:rsidRPr="0099157E">
        <w:rPr>
          <w:rFonts w:ascii="David" w:hAnsi="David" w:hint="cs"/>
          <w:rtl/>
        </w:rPr>
        <w:t xml:space="preserve"> אין חולק כי דברי דואר שנשלחו לכתובת זו, ז</w:t>
      </w:r>
      <w:r w:rsidR="00DC2BBE" w:rsidRPr="0099157E">
        <w:rPr>
          <w:rFonts w:ascii="David" w:hAnsi="David" w:hint="cs"/>
          <w:rtl/>
        </w:rPr>
        <w:t xml:space="preserve">והו ככאלה שנשלחו לכתובת רח' </w:t>
      </w:r>
      <w:r w:rsidR="00000099">
        <w:rPr>
          <w:rFonts w:ascii="David" w:hAnsi="David" w:hint="cs"/>
          <w:rtl/>
        </w:rPr>
        <w:t>...</w:t>
      </w:r>
      <w:r w:rsidR="00DC2BBE" w:rsidRPr="0099157E">
        <w:rPr>
          <w:rFonts w:ascii="David" w:hAnsi="David" w:hint="cs"/>
          <w:rtl/>
        </w:rPr>
        <w:t xml:space="preserve"> 15, </w:t>
      </w:r>
      <w:r w:rsidR="000B607D">
        <w:rPr>
          <w:rFonts w:ascii="David" w:hAnsi="David" w:hint="cs"/>
          <w:rtl/>
        </w:rPr>
        <w:t>ב-</w:t>
      </w:r>
      <w:r w:rsidR="00000099">
        <w:rPr>
          <w:rFonts w:ascii="David" w:hAnsi="David" w:hint="cs"/>
        </w:rPr>
        <w:t>B</w:t>
      </w:r>
      <w:r w:rsidR="00DC2BBE" w:rsidRPr="0099157E">
        <w:rPr>
          <w:rFonts w:ascii="David" w:hAnsi="David" w:hint="cs"/>
          <w:rtl/>
        </w:rPr>
        <w:t>, שהיא כתובת מגורי התובע ורעייתו.</w:t>
      </w:r>
      <w:r w:rsidRPr="0099157E">
        <w:rPr>
          <w:rFonts w:ascii="David" w:hAnsi="David"/>
          <w:rtl/>
        </w:rPr>
        <w:t xml:space="preserve"> </w:t>
      </w:r>
    </w:p>
    <w:p w:rsidR="00FE17CC" w:rsidRPr="00000099" w:rsidRDefault="00FE17CC" w:rsidP="00FE17CC">
      <w:pPr>
        <w:pStyle w:val="David"/>
        <w:ind w:left="720"/>
        <w:rPr>
          <w:rFonts w:ascii="David" w:hAnsi="David"/>
        </w:rPr>
      </w:pPr>
    </w:p>
    <w:p w:rsidR="00FE17CC" w:rsidRPr="0099157E" w:rsidRDefault="00FE17CC" w:rsidP="00FE17CC">
      <w:pPr>
        <w:pStyle w:val="David"/>
        <w:numPr>
          <w:ilvl w:val="0"/>
          <w:numId w:val="1"/>
        </w:numPr>
        <w:rPr>
          <w:rFonts w:ascii="David" w:hAnsi="David"/>
        </w:rPr>
      </w:pPr>
      <w:proofErr w:type="spellStart"/>
      <w:r w:rsidRPr="0099157E">
        <w:rPr>
          <w:rFonts w:ascii="David" w:hAnsi="David"/>
          <w:rtl/>
        </w:rPr>
        <w:t>בסע</w:t>
      </w:r>
      <w:proofErr w:type="spellEnd"/>
      <w:r w:rsidRPr="0099157E">
        <w:rPr>
          <w:rFonts w:ascii="David" w:hAnsi="David"/>
          <w:rtl/>
        </w:rPr>
        <w:t>' 5 לתביעה האמורה, טענה הנתבעת כדלקמן:</w:t>
      </w:r>
    </w:p>
    <w:p w:rsidR="00FE17CC" w:rsidRPr="0099157E" w:rsidRDefault="00FE17CC" w:rsidP="00FE17CC">
      <w:pPr>
        <w:pStyle w:val="af"/>
        <w:jc w:val="both"/>
      </w:pPr>
    </w:p>
    <w:p w:rsidR="00FE17CC" w:rsidRPr="0099157E" w:rsidRDefault="00FE17CC" w:rsidP="000B607D">
      <w:pPr>
        <w:pStyle w:val="af"/>
        <w:spacing w:line="360" w:lineRule="auto"/>
        <w:ind w:left="935" w:right="851"/>
        <w:jc w:val="both"/>
        <w:rPr>
          <w:rtl/>
        </w:rPr>
      </w:pPr>
      <w:r w:rsidRPr="0099157E">
        <w:rPr>
          <w:rFonts w:hint="cs"/>
          <w:rtl/>
        </w:rPr>
        <w:t xml:space="preserve">"באפריל </w:t>
      </w:r>
      <w:r w:rsidR="00000099">
        <w:rPr>
          <w:rFonts w:hint="cs"/>
          <w:rtl/>
        </w:rPr>
        <w:t>...</w:t>
      </w:r>
      <w:r w:rsidRPr="0099157E">
        <w:rPr>
          <w:rFonts w:hint="cs"/>
          <w:rtl/>
        </w:rPr>
        <w:t xml:space="preserve"> הבעל הציע נישואין לאישה בהפתעה רבת רושם. כבר בהכנות לקראת חתונתם עלה הרקע </w:t>
      </w:r>
      <w:r w:rsidRPr="0099157E">
        <w:rPr>
          <w:rFonts w:hint="cs"/>
          <w:b/>
          <w:bCs/>
          <w:u w:val="single"/>
          <w:rtl/>
        </w:rPr>
        <w:t>לאופיו הקשה, הנרקיסיסט, הכוחני והאנוכי של הבעל - על רקע משפחתו</w:t>
      </w:r>
      <w:r w:rsidRPr="0099157E">
        <w:rPr>
          <w:rFonts w:hint="cs"/>
          <w:rtl/>
        </w:rPr>
        <w:t xml:space="preserve">. אחותו סירבה להגיע למועד החתונה אותו תכננו הצדדים לספטמבר </w:t>
      </w:r>
      <w:r w:rsidR="00000099">
        <w:rPr>
          <w:rFonts w:hint="cs"/>
          <w:rtl/>
        </w:rPr>
        <w:t>...</w:t>
      </w:r>
      <w:r w:rsidRPr="0099157E">
        <w:rPr>
          <w:rFonts w:hint="cs"/>
          <w:rtl/>
        </w:rPr>
        <w:t>, בשל היותה באותה העת ב</w:t>
      </w:r>
      <w:r w:rsidR="00000099">
        <w:rPr>
          <w:rFonts w:hint="cs"/>
          <w:rtl/>
        </w:rPr>
        <w:t>...</w:t>
      </w:r>
      <w:r w:rsidRPr="0099157E">
        <w:rPr>
          <w:rFonts w:hint="cs"/>
          <w:rtl/>
        </w:rPr>
        <w:t xml:space="preserve"> וחששה כי תהיה "עייפה". אם הבעל אמרה כי אם לא ידחו את המועד – פשוט לא תגיע. ואביו של הבעל, אדם קשה שתלטן וכוחני שעל פיו יישק דבר, נטל אף הוא חלק ב"קלחת". ואף כשניאותו הצדדים לדחות את המועד ל</w:t>
      </w:r>
      <w:r w:rsidR="00000099">
        <w:rPr>
          <w:rFonts w:hint="cs"/>
          <w:rtl/>
        </w:rPr>
        <w:t>...</w:t>
      </w:r>
      <w:r w:rsidRPr="0099157E">
        <w:rPr>
          <w:rFonts w:hint="cs"/>
          <w:rtl/>
        </w:rPr>
        <w:t xml:space="preserve"> – משמע, כשנה וחצי לאחר האירוסין! אבי הבעל סנט באישה, אמר ש"תלך לבית הוריה שינקו את החלב משפתיה" – וזאת בשל ויכוח על תשלום טיפים למלצרים!!! הסתבר כי הבעל חש תמיד מקופח לעומת אחיותיו, חש </w:t>
      </w:r>
      <w:proofErr w:type="spellStart"/>
      <w:r w:rsidRPr="0099157E">
        <w:rPr>
          <w:rFonts w:hint="cs"/>
          <w:rtl/>
        </w:rPr>
        <w:t>שאימו</w:t>
      </w:r>
      <w:proofErr w:type="spellEnd"/>
      <w:r w:rsidRPr="0099157E">
        <w:rPr>
          <w:rFonts w:hint="cs"/>
          <w:rtl/>
        </w:rPr>
        <w:t xml:space="preserve"> העדיפה אותן על פניו, ואביו אדם קשה, גס, שכל זמן האיכות עם בנו הסתכם בסיוע הבן להרכבות ותיקונים של דברים בבית. האב אדם בוגדני שנסע עם חברים ל</w:t>
      </w:r>
      <w:r w:rsidR="00000099">
        <w:rPr>
          <w:rFonts w:hint="cs"/>
          <w:rtl/>
        </w:rPr>
        <w:t>...</w:t>
      </w:r>
      <w:r w:rsidRPr="0099157E">
        <w:rPr>
          <w:rFonts w:hint="cs"/>
          <w:rtl/>
        </w:rPr>
        <w:t xml:space="preserve"> ו"הבדיחה" שסיפרו הבעל אחיו היא שלאב יש "משפחה שנייה" שמתחזק שם. הבדיחה על ראשו של האב ומשפחתו כמובן. אך אין בכך משום נסיבות מקלות להתנהלות הבעל, שרמס האישה וכבודה כעפר לרגליו!!" (ההדגשה בקו תחתון ובאותיות דגושות – במקור) (להלן: </w:t>
      </w:r>
      <w:r w:rsidRPr="0099157E">
        <w:rPr>
          <w:rFonts w:hint="cs"/>
          <w:b/>
          <w:bCs/>
          <w:rtl/>
        </w:rPr>
        <w:t>הפרסום</w:t>
      </w:r>
      <w:r w:rsidRPr="0099157E">
        <w:rPr>
          <w:rFonts w:hint="cs"/>
          <w:rtl/>
        </w:rPr>
        <w:t>).</w:t>
      </w:r>
    </w:p>
    <w:p w:rsidR="00FE17CC" w:rsidRPr="0099157E" w:rsidRDefault="00FE17CC" w:rsidP="00FE17CC">
      <w:pPr>
        <w:pStyle w:val="af"/>
        <w:jc w:val="both"/>
        <w:rPr>
          <w:rtl/>
        </w:rPr>
      </w:pPr>
    </w:p>
    <w:p w:rsidR="00FE17CC" w:rsidRPr="0099157E" w:rsidRDefault="00FE17CC" w:rsidP="00000099">
      <w:pPr>
        <w:pStyle w:val="David"/>
        <w:numPr>
          <w:ilvl w:val="0"/>
          <w:numId w:val="1"/>
        </w:numPr>
        <w:rPr>
          <w:rFonts w:ascii="David" w:hAnsi="David"/>
          <w:rtl/>
        </w:rPr>
      </w:pPr>
      <w:r w:rsidRPr="0099157E">
        <w:rPr>
          <w:rFonts w:ascii="David" w:hAnsi="David"/>
          <w:rtl/>
        </w:rPr>
        <w:lastRenderedPageBreak/>
        <w:t xml:space="preserve">האמור בסעיף 5 לתביעה האמורה הוא הפרסום שבעטיו הוגשה התביעה דנן, ובפרט האמירות אודות אופיו הקשה והגס הנטען של התובע והיותו אדם </w:t>
      </w:r>
      <w:r w:rsidR="000B607D">
        <w:rPr>
          <w:rFonts w:ascii="David" w:hAnsi="David" w:hint="cs"/>
          <w:rtl/>
        </w:rPr>
        <w:t>"</w:t>
      </w:r>
      <w:r w:rsidRPr="0099157E">
        <w:rPr>
          <w:rFonts w:ascii="David" w:hAnsi="David"/>
          <w:rtl/>
        </w:rPr>
        <w:t>בוגדני</w:t>
      </w:r>
      <w:r w:rsidR="000B607D">
        <w:rPr>
          <w:rFonts w:ascii="David" w:hAnsi="David" w:hint="cs"/>
          <w:rtl/>
        </w:rPr>
        <w:t>"</w:t>
      </w:r>
      <w:r w:rsidRPr="0099157E">
        <w:rPr>
          <w:rFonts w:ascii="David" w:hAnsi="David"/>
          <w:rtl/>
        </w:rPr>
        <w:t>, אשר נסע ל</w:t>
      </w:r>
      <w:r w:rsidR="00000099">
        <w:rPr>
          <w:rFonts w:ascii="David" w:hAnsi="David" w:hint="cs"/>
          <w:rtl/>
        </w:rPr>
        <w:t>...</w:t>
      </w:r>
      <w:r w:rsidRPr="0099157E">
        <w:rPr>
          <w:rFonts w:ascii="David" w:hAnsi="David"/>
          <w:rtl/>
        </w:rPr>
        <w:t xml:space="preserve"> ו"הבדיחה" אודותיו </w:t>
      </w:r>
      <w:proofErr w:type="spellStart"/>
      <w:r w:rsidRPr="0099157E">
        <w:rPr>
          <w:rFonts w:ascii="David" w:hAnsi="David"/>
          <w:rtl/>
        </w:rPr>
        <w:t>היתה</w:t>
      </w:r>
      <w:proofErr w:type="spellEnd"/>
      <w:r w:rsidRPr="0099157E">
        <w:rPr>
          <w:rFonts w:ascii="David" w:hAnsi="David"/>
          <w:rtl/>
        </w:rPr>
        <w:t xml:space="preserve"> כי יש לו שם משפחה שניה. </w:t>
      </w:r>
    </w:p>
    <w:p w:rsidR="00FE17CC" w:rsidRPr="0099157E" w:rsidRDefault="00FE17CC" w:rsidP="00FE17CC">
      <w:pPr>
        <w:pStyle w:val="David"/>
        <w:ind w:left="720"/>
        <w:rPr>
          <w:rFonts w:ascii="David" w:hAnsi="David"/>
        </w:rPr>
      </w:pPr>
    </w:p>
    <w:p w:rsidR="00FE17CC" w:rsidRPr="0099157E" w:rsidRDefault="00FE17CC" w:rsidP="00DC2BBE">
      <w:pPr>
        <w:pStyle w:val="David"/>
        <w:numPr>
          <w:ilvl w:val="0"/>
          <w:numId w:val="1"/>
        </w:numPr>
        <w:rPr>
          <w:rFonts w:ascii="David" w:hAnsi="David"/>
        </w:rPr>
      </w:pPr>
      <w:r w:rsidRPr="0099157E">
        <w:rPr>
          <w:rFonts w:ascii="David" w:hAnsi="David"/>
          <w:rtl/>
        </w:rPr>
        <w:t xml:space="preserve">הנסיבות שבהן התוודע התובע לטענות ביחס אליו בתביעה האמורה תוארו במענה של התובע לשאלות בית המשפט בפרוטוקול הדיון לפני מיום 11.3.24, </w:t>
      </w:r>
      <w:r w:rsidR="00DC2BBE" w:rsidRPr="0099157E">
        <w:rPr>
          <w:rFonts w:ascii="David" w:hAnsi="David"/>
          <w:rtl/>
        </w:rPr>
        <w:t>כמו גם בעדותו לפני ביום 4.7.24,</w:t>
      </w:r>
      <w:r w:rsidR="00DC2BBE" w:rsidRPr="0099157E">
        <w:rPr>
          <w:rFonts w:ascii="David" w:hAnsi="David" w:hint="cs"/>
          <w:rtl/>
        </w:rPr>
        <w:t xml:space="preserve"> כמפורט להלן:</w:t>
      </w:r>
    </w:p>
    <w:p w:rsidR="00FE17CC" w:rsidRPr="0099157E" w:rsidRDefault="00FE17CC" w:rsidP="00FE17CC">
      <w:pPr>
        <w:pStyle w:val="af"/>
        <w:jc w:val="both"/>
      </w:pPr>
    </w:p>
    <w:p w:rsidR="00FE17CC" w:rsidRPr="0099157E" w:rsidRDefault="00FE17CC" w:rsidP="00000099">
      <w:pPr>
        <w:pStyle w:val="David"/>
        <w:ind w:left="720"/>
        <w:rPr>
          <w:rFonts w:ascii="David" w:hAnsi="David"/>
          <w:rtl/>
        </w:rPr>
      </w:pPr>
      <w:r w:rsidRPr="0099157E">
        <w:rPr>
          <w:rFonts w:ascii="David" w:hAnsi="David"/>
          <w:rtl/>
        </w:rPr>
        <w:t xml:space="preserve">התובע מסר כי </w:t>
      </w:r>
      <w:r w:rsidR="00000099">
        <w:rPr>
          <w:rFonts w:ascii="David" w:hAnsi="David"/>
          <w:rtl/>
        </w:rPr>
        <w:t>הגרוש</w:t>
      </w:r>
      <w:r w:rsidRPr="0099157E">
        <w:rPr>
          <w:rFonts w:ascii="David" w:hAnsi="David"/>
          <w:rtl/>
        </w:rPr>
        <w:t xml:space="preserve"> שלח אליו מסרון ביום 18.10.24 אשר </w:t>
      </w:r>
      <w:r w:rsidR="00000099">
        <w:rPr>
          <w:rFonts w:ascii="David" w:hAnsi="David"/>
          <w:rtl/>
        </w:rPr>
        <w:t>הגרוש</w:t>
      </w:r>
      <w:r w:rsidRPr="0099157E">
        <w:rPr>
          <w:rFonts w:ascii="David" w:hAnsi="David"/>
          <w:rtl/>
        </w:rPr>
        <w:t xml:space="preserve"> קיבל מרשות הדואר, ולפיו נשלח אליו חומר בדואר רשום. </w:t>
      </w:r>
      <w:r w:rsidR="00000099">
        <w:rPr>
          <w:rFonts w:ascii="David" w:hAnsi="David"/>
          <w:rtl/>
        </w:rPr>
        <w:t>הגרוש</w:t>
      </w:r>
      <w:r w:rsidRPr="0099157E">
        <w:rPr>
          <w:rFonts w:ascii="David" w:hAnsi="David"/>
          <w:rtl/>
        </w:rPr>
        <w:t xml:space="preserve">, שהיה באותה </w:t>
      </w:r>
      <w:r w:rsidR="00DC2BBE" w:rsidRPr="0099157E">
        <w:rPr>
          <w:rFonts w:ascii="David" w:hAnsi="David"/>
          <w:rtl/>
        </w:rPr>
        <w:t>שעה בשירות מילואים לאחר שהוא גו</w:t>
      </w:r>
      <w:r w:rsidRPr="0099157E">
        <w:rPr>
          <w:rFonts w:ascii="David" w:hAnsi="David"/>
          <w:rtl/>
        </w:rPr>
        <w:t>יס בצו 8 בעקבות פרוץ מלחמת "חרבות ברזל", ביקש מהתובע לקבל עבורו את דבר הדואר</w:t>
      </w:r>
      <w:r w:rsidR="00DC2BBE" w:rsidRPr="0099157E">
        <w:rPr>
          <w:rFonts w:ascii="David" w:hAnsi="David" w:hint="cs"/>
          <w:rtl/>
        </w:rPr>
        <w:t xml:space="preserve">, </w:t>
      </w:r>
      <w:r w:rsidRPr="0099157E">
        <w:rPr>
          <w:rFonts w:ascii="David" w:hAnsi="David"/>
          <w:rtl/>
        </w:rPr>
        <w:t xml:space="preserve"> ולבדוק במה המדובר. הערכת התובע </w:t>
      </w:r>
      <w:proofErr w:type="spellStart"/>
      <w:r w:rsidRPr="0099157E">
        <w:rPr>
          <w:rFonts w:ascii="David" w:hAnsi="David"/>
          <w:rtl/>
        </w:rPr>
        <w:t>היתה</w:t>
      </w:r>
      <w:proofErr w:type="spellEnd"/>
      <w:r w:rsidRPr="0099157E">
        <w:rPr>
          <w:rFonts w:ascii="David" w:hAnsi="David"/>
          <w:rtl/>
        </w:rPr>
        <w:t xml:space="preserve"> כי עניינו של דבר הדואר הוא במסמך משפטי. התובע כתב ל</w:t>
      </w:r>
      <w:r w:rsidR="00000099">
        <w:rPr>
          <w:rFonts w:ascii="David" w:hAnsi="David"/>
          <w:rtl/>
        </w:rPr>
        <w:t>גרוש</w:t>
      </w:r>
      <w:r w:rsidRPr="0099157E">
        <w:rPr>
          <w:rFonts w:ascii="David" w:hAnsi="David"/>
          <w:rtl/>
        </w:rPr>
        <w:t xml:space="preserve"> מסרון מענה שבו ציין כי הוא יבדוק ויעדכן אותו. התובע אכן אסף את דבר הדואר, שהיה מעטפה שמוענה עבור הבן </w:t>
      </w:r>
      <w:r w:rsidR="00000099">
        <w:rPr>
          <w:rFonts w:ascii="David" w:hAnsi="David"/>
          <w:rtl/>
        </w:rPr>
        <w:t>הגרוש</w:t>
      </w:r>
      <w:r w:rsidRPr="0099157E">
        <w:rPr>
          <w:rFonts w:ascii="David" w:hAnsi="David"/>
          <w:rtl/>
        </w:rPr>
        <w:t xml:space="preserve">. התובע הגיע לביתו, הניח את המעטפה הסגורה על השולחן בפינת האוכל, ונכנס לשירותים. בשלב זה, אשתו פתחה את המעטפה, עיינה בכתב התביעה ונחשפה לטענות בו, לרבות הדברים שנכתבו בקשר לתובע </w:t>
      </w:r>
      <w:proofErr w:type="spellStart"/>
      <w:r w:rsidRPr="0099157E">
        <w:rPr>
          <w:rFonts w:ascii="David" w:hAnsi="David"/>
          <w:rtl/>
        </w:rPr>
        <w:t>בסע</w:t>
      </w:r>
      <w:proofErr w:type="spellEnd"/>
      <w:r w:rsidRPr="0099157E">
        <w:rPr>
          <w:rFonts w:ascii="David" w:hAnsi="David"/>
          <w:rtl/>
        </w:rPr>
        <w:t>' 5 לתביעה</w:t>
      </w:r>
      <w:r w:rsidR="00DC2BBE" w:rsidRPr="0099157E">
        <w:rPr>
          <w:rFonts w:ascii="David" w:hAnsi="David" w:hint="cs"/>
          <w:rtl/>
        </w:rPr>
        <w:t xml:space="preserve"> האמורה</w:t>
      </w:r>
      <w:r w:rsidRPr="0099157E">
        <w:rPr>
          <w:rFonts w:ascii="David" w:hAnsi="David"/>
          <w:rtl/>
        </w:rPr>
        <w:t>, וכך גם התובע נחשף לדברים (עמ' 1-2, ועמ' 7-8, וראו גם חליפת המסרונים בין התובע ל</w:t>
      </w:r>
      <w:r w:rsidR="00000099">
        <w:rPr>
          <w:rFonts w:ascii="David" w:hAnsi="David" w:hint="cs"/>
          <w:rtl/>
        </w:rPr>
        <w:t>גרוש</w:t>
      </w:r>
      <w:r w:rsidRPr="0099157E">
        <w:rPr>
          <w:rFonts w:ascii="David" w:hAnsi="David"/>
          <w:rtl/>
        </w:rPr>
        <w:t>, שצורפו כ</w:t>
      </w:r>
      <w:r w:rsidRPr="0099157E">
        <w:rPr>
          <w:rFonts w:ascii="David" w:hAnsi="David"/>
          <w:b/>
          <w:bCs/>
          <w:u w:val="single"/>
          <w:rtl/>
        </w:rPr>
        <w:t>מוצג ת/1</w:t>
      </w:r>
      <w:r w:rsidR="00000099">
        <w:rPr>
          <w:rFonts w:ascii="David" w:hAnsi="David"/>
          <w:rtl/>
        </w:rPr>
        <w:t>).</w:t>
      </w:r>
    </w:p>
    <w:p w:rsidR="00FE17CC" w:rsidRPr="0099157E" w:rsidRDefault="00FE17CC" w:rsidP="00FE17CC">
      <w:pPr>
        <w:pStyle w:val="David"/>
        <w:ind w:left="720"/>
        <w:rPr>
          <w:rFonts w:ascii="David" w:hAnsi="David"/>
          <w:rtl/>
        </w:rPr>
      </w:pPr>
    </w:p>
    <w:p w:rsidR="00FE17CC" w:rsidRPr="0099157E" w:rsidRDefault="00FE17CC" w:rsidP="00000099">
      <w:pPr>
        <w:pStyle w:val="David"/>
        <w:ind w:left="720"/>
        <w:rPr>
          <w:rFonts w:ascii="David" w:hAnsi="David"/>
          <w:rtl/>
        </w:rPr>
      </w:pPr>
      <w:r w:rsidRPr="0099157E">
        <w:rPr>
          <w:rFonts w:ascii="David" w:hAnsi="David"/>
          <w:rtl/>
        </w:rPr>
        <w:t xml:space="preserve">גרסה דומה נמסרה על ידי הגב' </w:t>
      </w:r>
      <w:r w:rsidR="00000099">
        <w:rPr>
          <w:rFonts w:ascii="David" w:hAnsi="David" w:hint="cs"/>
          <w:rtl/>
        </w:rPr>
        <w:t>...</w:t>
      </w:r>
      <w:r w:rsidRPr="0099157E">
        <w:rPr>
          <w:rFonts w:ascii="David" w:hAnsi="David"/>
          <w:rtl/>
        </w:rPr>
        <w:t xml:space="preserve">, רעיית התובע בעמ' 35 למטה ועמ' 36 למעלה).   </w:t>
      </w:r>
    </w:p>
    <w:p w:rsidR="00FE17CC" w:rsidRPr="0099157E" w:rsidRDefault="00FE17CC" w:rsidP="00FE17CC">
      <w:pPr>
        <w:pStyle w:val="David"/>
        <w:ind w:left="720"/>
        <w:rPr>
          <w:rFonts w:ascii="David" w:hAnsi="David"/>
          <w:rtl/>
        </w:rPr>
      </w:pPr>
    </w:p>
    <w:p w:rsidR="00FE17CC" w:rsidRPr="0099157E" w:rsidRDefault="00FE17CC" w:rsidP="00DC2BBE">
      <w:pPr>
        <w:pStyle w:val="David"/>
        <w:ind w:left="720"/>
        <w:rPr>
          <w:rFonts w:ascii="David" w:hAnsi="David"/>
          <w:rtl/>
        </w:rPr>
      </w:pPr>
      <w:r w:rsidRPr="0099157E">
        <w:rPr>
          <w:rFonts w:ascii="David" w:hAnsi="David"/>
          <w:rtl/>
        </w:rPr>
        <w:t>מהלך דברים זה לא היה שנוי במחלוקת בתיק, ומכל מקום, שוכנעתי מעדויות התובע ורעייתו, שנתמכו גם בחל</w:t>
      </w:r>
      <w:r w:rsidR="000B607D">
        <w:rPr>
          <w:rFonts w:ascii="David" w:hAnsi="David" w:hint="cs"/>
          <w:rtl/>
        </w:rPr>
        <w:t>י</w:t>
      </w:r>
      <w:r w:rsidR="000B607D">
        <w:rPr>
          <w:rFonts w:ascii="David" w:hAnsi="David"/>
          <w:rtl/>
        </w:rPr>
        <w:t>פ</w:t>
      </w:r>
      <w:r w:rsidRPr="0099157E">
        <w:rPr>
          <w:rFonts w:ascii="David" w:hAnsi="David"/>
          <w:rtl/>
        </w:rPr>
        <w:t>ת המסרונים בין התובע ל</w:t>
      </w:r>
      <w:r w:rsidR="00000099">
        <w:rPr>
          <w:rFonts w:ascii="David" w:hAnsi="David"/>
          <w:rtl/>
        </w:rPr>
        <w:t>גרוש</w:t>
      </w:r>
      <w:r w:rsidRPr="0099157E">
        <w:rPr>
          <w:rFonts w:ascii="David" w:hAnsi="David"/>
          <w:rtl/>
        </w:rPr>
        <w:t>, כי אלו אכן הנסיבות שבהן נחשפו התובע ורעייתו לפרסום.</w:t>
      </w:r>
    </w:p>
    <w:p w:rsidR="00FE17CC" w:rsidRPr="0099157E" w:rsidRDefault="00FE17CC" w:rsidP="00FE17CC">
      <w:pPr>
        <w:pStyle w:val="af"/>
        <w:jc w:val="both"/>
        <w:rPr>
          <w:sz w:val="28"/>
          <w:szCs w:val="28"/>
        </w:rPr>
      </w:pPr>
    </w:p>
    <w:p w:rsidR="00FE17CC" w:rsidRPr="0099157E" w:rsidRDefault="00FE17CC" w:rsidP="00FE17CC">
      <w:pPr>
        <w:pStyle w:val="David"/>
        <w:ind w:left="720"/>
        <w:rPr>
          <w:rFonts w:ascii="David" w:hAnsi="David"/>
          <w:sz w:val="28"/>
          <w:szCs w:val="28"/>
          <w:rtl/>
        </w:rPr>
      </w:pPr>
    </w:p>
    <w:p w:rsidR="00FE17CC" w:rsidRPr="0099157E" w:rsidRDefault="00FE17CC" w:rsidP="00FE17CC">
      <w:pPr>
        <w:pStyle w:val="af"/>
        <w:jc w:val="both"/>
        <w:rPr>
          <w:b/>
          <w:bCs/>
          <w:sz w:val="28"/>
          <w:szCs w:val="28"/>
          <w:u w:val="single"/>
        </w:rPr>
      </w:pPr>
      <w:r w:rsidRPr="0099157E">
        <w:rPr>
          <w:rFonts w:hint="cs"/>
          <w:b/>
          <w:bCs/>
          <w:sz w:val="28"/>
          <w:szCs w:val="28"/>
          <w:u w:val="single"/>
          <w:rtl/>
        </w:rPr>
        <w:t>טענות הצדדים</w:t>
      </w:r>
    </w:p>
    <w:p w:rsidR="00FE17CC" w:rsidRPr="0099157E" w:rsidRDefault="00FE17CC" w:rsidP="00FE17CC">
      <w:pPr>
        <w:pStyle w:val="af"/>
        <w:jc w:val="both"/>
        <w:rPr>
          <w:b/>
          <w:bCs/>
          <w:u w:val="single"/>
          <w:rtl/>
        </w:rPr>
      </w:pPr>
    </w:p>
    <w:p w:rsidR="00FE17CC" w:rsidRPr="0099157E" w:rsidRDefault="00FE17CC" w:rsidP="00FE17CC">
      <w:pPr>
        <w:pStyle w:val="David"/>
        <w:ind w:left="720"/>
        <w:rPr>
          <w:rFonts w:ascii="David" w:hAnsi="David"/>
          <w:b/>
          <w:bCs/>
          <w:u w:val="single"/>
          <w:rtl/>
        </w:rPr>
      </w:pPr>
      <w:r w:rsidRPr="0099157E">
        <w:rPr>
          <w:rFonts w:ascii="David" w:hAnsi="David"/>
          <w:b/>
          <w:bCs/>
          <w:u w:val="single"/>
          <w:rtl/>
        </w:rPr>
        <w:t>טענות התובע</w:t>
      </w:r>
    </w:p>
    <w:p w:rsidR="00FE17CC" w:rsidRPr="0099157E" w:rsidRDefault="00FE17CC" w:rsidP="00FE17CC">
      <w:pPr>
        <w:pStyle w:val="David"/>
        <w:ind w:left="720"/>
        <w:rPr>
          <w:rFonts w:ascii="David" w:hAnsi="David"/>
        </w:rPr>
      </w:pPr>
    </w:p>
    <w:p w:rsidR="00FE17CC" w:rsidRPr="0099157E" w:rsidRDefault="00FE17CC" w:rsidP="00FE17CC">
      <w:pPr>
        <w:pStyle w:val="David"/>
        <w:numPr>
          <w:ilvl w:val="0"/>
          <w:numId w:val="1"/>
        </w:numPr>
        <w:rPr>
          <w:rFonts w:ascii="David" w:hAnsi="David"/>
        </w:rPr>
      </w:pPr>
      <w:r w:rsidRPr="0099157E">
        <w:rPr>
          <w:rFonts w:ascii="David" w:hAnsi="David"/>
          <w:rtl/>
        </w:rPr>
        <w:t xml:space="preserve">התובע טוען כי הדברים שנכתבו אודותיו </w:t>
      </w:r>
      <w:proofErr w:type="spellStart"/>
      <w:r w:rsidRPr="0099157E">
        <w:rPr>
          <w:rFonts w:ascii="David" w:hAnsi="David"/>
          <w:rtl/>
        </w:rPr>
        <w:t>בסע</w:t>
      </w:r>
      <w:proofErr w:type="spellEnd"/>
      <w:r w:rsidRPr="0099157E">
        <w:rPr>
          <w:rFonts w:ascii="David" w:hAnsi="David"/>
          <w:rtl/>
        </w:rPr>
        <w:t xml:space="preserve">' 5 לתביעה מהווים עוולת לשון הרע ועוולת פגיעה בפרטיות, והוא עותר לחיוב הנתבעת בפיצוי בסך 130,000 ₪ בגין כך. </w:t>
      </w:r>
    </w:p>
    <w:p w:rsidR="00FE17CC" w:rsidRPr="0099157E" w:rsidRDefault="00FE17CC" w:rsidP="00FE17CC">
      <w:pPr>
        <w:pStyle w:val="David"/>
        <w:ind w:left="720"/>
        <w:rPr>
          <w:rFonts w:ascii="David" w:hAnsi="David"/>
        </w:rPr>
      </w:pPr>
    </w:p>
    <w:p w:rsidR="00FE17CC" w:rsidRPr="0099157E" w:rsidRDefault="00DC2BBE" w:rsidP="00000099">
      <w:pPr>
        <w:pStyle w:val="David"/>
        <w:numPr>
          <w:ilvl w:val="0"/>
          <w:numId w:val="1"/>
        </w:numPr>
        <w:rPr>
          <w:rFonts w:ascii="David" w:hAnsi="David"/>
        </w:rPr>
      </w:pPr>
      <w:r w:rsidRPr="0099157E">
        <w:rPr>
          <w:rFonts w:ascii="David" w:hAnsi="David"/>
          <w:rtl/>
        </w:rPr>
        <w:t>טענות התובע</w:t>
      </w:r>
      <w:r w:rsidR="00FE17CC" w:rsidRPr="0099157E">
        <w:rPr>
          <w:rFonts w:ascii="David" w:hAnsi="David"/>
          <w:rtl/>
        </w:rPr>
        <w:t xml:space="preserve"> מכוונות בכל הנוגע לאמור </w:t>
      </w:r>
      <w:proofErr w:type="spellStart"/>
      <w:r w:rsidR="00FE17CC" w:rsidRPr="0099157E">
        <w:rPr>
          <w:rFonts w:ascii="David" w:hAnsi="David"/>
          <w:rtl/>
        </w:rPr>
        <w:t>בסע</w:t>
      </w:r>
      <w:proofErr w:type="spellEnd"/>
      <w:r w:rsidR="00FE17CC" w:rsidRPr="0099157E">
        <w:rPr>
          <w:rFonts w:ascii="David" w:hAnsi="David"/>
          <w:rtl/>
        </w:rPr>
        <w:t>' 5 לתביעה האמורה, ובפרט לטענות שלפיהן התובע הוא אדם קשה, שתלטן, גס ובוגדני שנסע רבות עם חבריו ל</w:t>
      </w:r>
      <w:r w:rsidR="00000099">
        <w:rPr>
          <w:rFonts w:ascii="David" w:hAnsi="David" w:hint="cs"/>
          <w:rtl/>
        </w:rPr>
        <w:t>...</w:t>
      </w:r>
      <w:r w:rsidR="00FE17CC" w:rsidRPr="0099157E">
        <w:rPr>
          <w:rFonts w:ascii="David" w:hAnsi="David"/>
          <w:rtl/>
        </w:rPr>
        <w:t xml:space="preserve"> ו"הבדיחה" הייתה שיש לו משפחה שניה שהוא מתחזק שם, בדיחה שמספרים </w:t>
      </w:r>
      <w:r w:rsidR="00000099">
        <w:rPr>
          <w:rFonts w:ascii="David" w:hAnsi="David" w:hint="cs"/>
          <w:rtl/>
        </w:rPr>
        <w:t>הגרוש</w:t>
      </w:r>
      <w:r w:rsidR="00FE17CC" w:rsidRPr="0099157E">
        <w:rPr>
          <w:rFonts w:ascii="David" w:hAnsi="David"/>
          <w:rtl/>
        </w:rPr>
        <w:t xml:space="preserve"> ואחיו.</w:t>
      </w:r>
    </w:p>
    <w:p w:rsidR="00FE17CC" w:rsidRPr="00000099" w:rsidRDefault="00FE17CC" w:rsidP="00FE17CC">
      <w:pPr>
        <w:pStyle w:val="af"/>
        <w:jc w:val="both"/>
      </w:pPr>
    </w:p>
    <w:p w:rsidR="00FE17CC" w:rsidRPr="0099157E" w:rsidRDefault="00FE17CC" w:rsidP="00DC2BBE">
      <w:pPr>
        <w:pStyle w:val="David"/>
        <w:numPr>
          <w:ilvl w:val="0"/>
          <w:numId w:val="1"/>
        </w:numPr>
        <w:rPr>
          <w:rtl/>
        </w:rPr>
      </w:pPr>
      <w:r w:rsidRPr="0099157E">
        <w:rPr>
          <w:rFonts w:ascii="David" w:hAnsi="David"/>
          <w:rtl/>
        </w:rPr>
        <w:t>התובע טוען כי מדובר בדברים שנכתבו אודותיו, הגם שהוא לא היה צד להליך, ואין להם כל תכלית לבירור המחלוקות בין הנתבעת ל</w:t>
      </w:r>
      <w:r w:rsidR="00000099">
        <w:rPr>
          <w:rFonts w:ascii="David" w:hAnsi="David"/>
          <w:rtl/>
        </w:rPr>
        <w:t>גרוש</w:t>
      </w:r>
      <w:r w:rsidRPr="0099157E">
        <w:rPr>
          <w:rFonts w:ascii="David" w:hAnsi="David"/>
          <w:rtl/>
        </w:rPr>
        <w:t xml:space="preserve"> ואין בהם כדי לקדם באופן ענייני את ההליך בין הנתבעת ל</w:t>
      </w:r>
      <w:r w:rsidR="00000099">
        <w:rPr>
          <w:rFonts w:ascii="David" w:hAnsi="David"/>
          <w:rtl/>
        </w:rPr>
        <w:t>גרוש</w:t>
      </w:r>
      <w:r w:rsidRPr="0099157E">
        <w:rPr>
          <w:rFonts w:ascii="David" w:hAnsi="David"/>
          <w:rtl/>
        </w:rPr>
        <w:t xml:space="preserve"> וכי מדובר בטענות שקריות שנטענו בחוסר תום לב ובזדון. </w:t>
      </w:r>
    </w:p>
    <w:p w:rsidR="00FE17CC" w:rsidRPr="0099157E" w:rsidRDefault="00FE17CC" w:rsidP="00FE17CC">
      <w:pPr>
        <w:pStyle w:val="af"/>
        <w:jc w:val="both"/>
      </w:pPr>
    </w:p>
    <w:p w:rsidR="00FE17CC" w:rsidRPr="0099157E" w:rsidRDefault="00FE17CC" w:rsidP="00FE17CC">
      <w:pPr>
        <w:pStyle w:val="David"/>
        <w:numPr>
          <w:ilvl w:val="0"/>
          <w:numId w:val="1"/>
        </w:numPr>
        <w:rPr>
          <w:rFonts w:ascii="David" w:hAnsi="David"/>
          <w:rtl/>
        </w:rPr>
      </w:pPr>
      <w:r w:rsidRPr="0099157E">
        <w:rPr>
          <w:rFonts w:ascii="David" w:hAnsi="David"/>
          <w:rtl/>
        </w:rPr>
        <w:t xml:space="preserve">התובע טוען כי הנתבעת ידעה במועד משלוח תביעתה כי </w:t>
      </w:r>
      <w:r w:rsidR="00000099">
        <w:rPr>
          <w:rFonts w:ascii="David" w:hAnsi="David"/>
          <w:rtl/>
        </w:rPr>
        <w:t>הגרוש</w:t>
      </w:r>
      <w:r w:rsidRPr="0099157E">
        <w:rPr>
          <w:rFonts w:ascii="David" w:hAnsi="David"/>
          <w:rtl/>
        </w:rPr>
        <w:t xml:space="preserve"> אינו </w:t>
      </w:r>
      <w:r w:rsidR="00DE7315">
        <w:rPr>
          <w:rFonts w:ascii="David" w:hAnsi="David"/>
          <w:rtl/>
        </w:rPr>
        <w:t>גר אצל הוריו וכי כתובת מגוריו ה</w:t>
      </w:r>
      <w:r w:rsidR="00DE7315">
        <w:rPr>
          <w:rFonts w:ascii="David" w:hAnsi="David" w:hint="cs"/>
          <w:rtl/>
        </w:rPr>
        <w:t>י</w:t>
      </w:r>
      <w:r w:rsidRPr="0099157E">
        <w:rPr>
          <w:rFonts w:ascii="David" w:hAnsi="David"/>
          <w:rtl/>
        </w:rPr>
        <w:t xml:space="preserve">א בדירה שכורה בישוב </w:t>
      </w:r>
      <w:r w:rsidR="00000099">
        <w:rPr>
          <w:rFonts w:ascii="David" w:hAnsi="David"/>
        </w:rPr>
        <w:t>A</w:t>
      </w:r>
      <w:r w:rsidRPr="0099157E">
        <w:rPr>
          <w:rFonts w:ascii="David" w:hAnsi="David"/>
          <w:rtl/>
        </w:rPr>
        <w:t xml:space="preserve">, ועל אף פי כן, ובכוונת מכוון היא נמנעה ממשלוח כתב התביעה לכתובת מגוריו של </w:t>
      </w:r>
      <w:r w:rsidR="00000099">
        <w:rPr>
          <w:rFonts w:ascii="David" w:hAnsi="David"/>
          <w:rtl/>
        </w:rPr>
        <w:t>הגרוש</w:t>
      </w:r>
      <w:r w:rsidRPr="0099157E">
        <w:rPr>
          <w:rFonts w:ascii="David" w:hAnsi="David"/>
          <w:rtl/>
        </w:rPr>
        <w:t>, ודאגה כי ישלח לכתובת מגורי התובע ורעייתו, וכל זאת</w:t>
      </w:r>
      <w:r w:rsidR="007A08A2">
        <w:rPr>
          <w:rFonts w:ascii="David" w:hAnsi="David" w:hint="cs"/>
          <w:rtl/>
        </w:rPr>
        <w:t>,</w:t>
      </w:r>
      <w:r w:rsidRPr="0099157E">
        <w:rPr>
          <w:rFonts w:ascii="David" w:hAnsi="David"/>
          <w:rtl/>
        </w:rPr>
        <w:t xml:space="preserve"> במטרה לפגוע בתובע וברעייתו וליצור קרע ביחסים ביניהם, על ידי הצגת התובע באופן משפיל ומבזה.</w:t>
      </w:r>
    </w:p>
    <w:p w:rsidR="00FE17CC" w:rsidRPr="0099157E" w:rsidRDefault="00FE17CC" w:rsidP="00FE17CC">
      <w:pPr>
        <w:pStyle w:val="af"/>
        <w:jc w:val="both"/>
      </w:pPr>
    </w:p>
    <w:p w:rsidR="00FE17CC" w:rsidRPr="0099157E" w:rsidRDefault="00FE17CC" w:rsidP="00FE17CC">
      <w:pPr>
        <w:pStyle w:val="David"/>
        <w:numPr>
          <w:ilvl w:val="0"/>
          <w:numId w:val="1"/>
        </w:numPr>
        <w:rPr>
          <w:rFonts w:ascii="David" w:hAnsi="David"/>
          <w:rtl/>
        </w:rPr>
      </w:pPr>
      <w:r w:rsidRPr="0099157E">
        <w:rPr>
          <w:rFonts w:ascii="David" w:hAnsi="David"/>
          <w:rtl/>
        </w:rPr>
        <w:t>התובע טוען כי בנסיבות הנטענות על ידו, ומשעה שהפרסום נשלח למי שאינו צד להליך בין הנתבעת ל</w:t>
      </w:r>
      <w:r w:rsidR="00000099">
        <w:rPr>
          <w:rFonts w:ascii="David" w:hAnsi="David"/>
          <w:rtl/>
        </w:rPr>
        <w:t>גרוש</w:t>
      </w:r>
      <w:r w:rsidRPr="0099157E">
        <w:rPr>
          <w:rFonts w:ascii="David" w:hAnsi="David"/>
          <w:rtl/>
        </w:rPr>
        <w:t>, הרי שהחסינות לפי סע' 13(5) לחוק איסור לשון הרע אינה חלה.</w:t>
      </w:r>
    </w:p>
    <w:p w:rsidR="00FE17CC" w:rsidRPr="0099157E" w:rsidRDefault="00FE17CC" w:rsidP="00FE17CC">
      <w:pPr>
        <w:pStyle w:val="af"/>
        <w:jc w:val="both"/>
      </w:pPr>
    </w:p>
    <w:p w:rsidR="00FE17CC" w:rsidRPr="0099157E" w:rsidRDefault="00FE17CC" w:rsidP="00000099">
      <w:pPr>
        <w:pStyle w:val="David"/>
        <w:numPr>
          <w:ilvl w:val="0"/>
          <w:numId w:val="1"/>
        </w:numPr>
        <w:rPr>
          <w:rFonts w:ascii="David" w:hAnsi="David"/>
          <w:rtl/>
        </w:rPr>
      </w:pPr>
      <w:r w:rsidRPr="0099157E">
        <w:rPr>
          <w:rFonts w:ascii="David" w:hAnsi="David"/>
          <w:rtl/>
        </w:rPr>
        <w:t xml:space="preserve">התובע טוען כי מיד לאחר שרעייתו נחשפה לטענות אודותיו בפרסום, רעייתו התפרצה וכעסה עליו, ובפרט בשל טענת הנתבעת כי התובע </w:t>
      </w:r>
      <w:r w:rsidR="007A08A2">
        <w:rPr>
          <w:rFonts w:ascii="David" w:hAnsi="David" w:hint="cs"/>
          <w:rtl/>
        </w:rPr>
        <w:t>"</w:t>
      </w:r>
      <w:r w:rsidRPr="0099157E">
        <w:rPr>
          <w:rFonts w:ascii="David" w:hAnsi="David"/>
          <w:rtl/>
        </w:rPr>
        <w:t>בוגדני</w:t>
      </w:r>
      <w:r w:rsidR="007A08A2">
        <w:rPr>
          <w:rFonts w:ascii="David" w:hAnsi="David" w:hint="cs"/>
          <w:rtl/>
        </w:rPr>
        <w:t>"</w:t>
      </w:r>
      <w:r w:rsidRPr="0099157E">
        <w:rPr>
          <w:rFonts w:ascii="David" w:hAnsi="David"/>
          <w:rtl/>
        </w:rPr>
        <w:t xml:space="preserve"> וכי קיימת "בדיחה" שלתובע משפחה נוספת ב</w:t>
      </w:r>
      <w:r w:rsidR="00000099">
        <w:rPr>
          <w:rFonts w:ascii="David" w:hAnsi="David" w:hint="cs"/>
          <w:rtl/>
        </w:rPr>
        <w:t>...</w:t>
      </w:r>
      <w:r w:rsidRPr="0099157E">
        <w:rPr>
          <w:rFonts w:ascii="David" w:hAnsi="David"/>
          <w:rtl/>
        </w:rPr>
        <w:t>. רעיית התובע הטיחה בו כי נראה שהנתבעת יודעת דברים על התובע שהיא עצמה אינה יודעת</w:t>
      </w:r>
      <w:r w:rsidR="007A08A2">
        <w:rPr>
          <w:rFonts w:ascii="David" w:hAnsi="David" w:hint="cs"/>
          <w:rtl/>
        </w:rPr>
        <w:t>,</w:t>
      </w:r>
      <w:r w:rsidRPr="0099157E">
        <w:rPr>
          <w:rFonts w:ascii="David" w:hAnsi="David"/>
          <w:rtl/>
        </w:rPr>
        <w:t xml:space="preserve"> והדבר גרם לסכסוך קשה בין התובע לאשתו. </w:t>
      </w:r>
    </w:p>
    <w:p w:rsidR="00FE17CC" w:rsidRPr="0099157E" w:rsidRDefault="00FE17CC" w:rsidP="00FE17CC">
      <w:pPr>
        <w:pStyle w:val="af"/>
        <w:jc w:val="both"/>
      </w:pPr>
    </w:p>
    <w:p w:rsidR="00FE17CC" w:rsidRPr="0099157E" w:rsidRDefault="00FE17CC" w:rsidP="00FE17CC">
      <w:pPr>
        <w:pStyle w:val="af"/>
        <w:numPr>
          <w:ilvl w:val="0"/>
          <w:numId w:val="1"/>
        </w:numPr>
        <w:spacing w:after="200" w:line="360" w:lineRule="auto"/>
        <w:jc w:val="both"/>
        <w:rPr>
          <w:rtl/>
        </w:rPr>
      </w:pPr>
      <w:r w:rsidRPr="0099157E">
        <w:rPr>
          <w:rFonts w:hint="cs"/>
          <w:rtl/>
        </w:rPr>
        <w:t>התובע טוען</w:t>
      </w:r>
      <w:r w:rsidR="00DC2BBE" w:rsidRPr="0099157E">
        <w:rPr>
          <w:rFonts w:hint="cs"/>
          <w:rtl/>
        </w:rPr>
        <w:t>,</w:t>
      </w:r>
      <w:r w:rsidRPr="0099157E">
        <w:rPr>
          <w:rFonts w:hint="cs"/>
          <w:rtl/>
        </w:rPr>
        <w:t xml:space="preserve"> כי הנתבעת ביצעה כלפיו עוולת לשון הרע, וכן עוולת פגיעה בפרטיות</w:t>
      </w:r>
      <w:r w:rsidR="007A08A2">
        <w:rPr>
          <w:rFonts w:hint="cs"/>
          <w:rtl/>
        </w:rPr>
        <w:t>,</w:t>
      </w:r>
      <w:r w:rsidRPr="0099157E">
        <w:rPr>
          <w:rFonts w:hint="cs"/>
          <w:rtl/>
        </w:rPr>
        <w:t xml:space="preserve"> הן לפי סע' 2(9) לחוק הגנת הפרטיות, שעניינו שימוש בידיעה על ענייניו הפרטיים של אדם או מסירתה לאחר, </w:t>
      </w:r>
      <w:r w:rsidR="00D50559" w:rsidRPr="0099157E">
        <w:rPr>
          <w:rFonts w:hint="cs"/>
          <w:rtl/>
        </w:rPr>
        <w:t xml:space="preserve">שלא למטרה שלשמה נמסרה, </w:t>
      </w:r>
      <w:r w:rsidRPr="0099157E">
        <w:rPr>
          <w:rFonts w:hint="cs"/>
          <w:rtl/>
        </w:rPr>
        <w:t xml:space="preserve">והן לפי סע' 2(11) לחוק הגנת הפרטיות, שעניינו פרסומו של עניין הנוגע לצנעת חייו האישיים של אדם. התובע טוען כי הוא זכאי כי יפסקו לו פיצויים ללא הוכחת נזק ללא הוכחת נזק על פי סע' 7(א)(ג) לחוק איסור לשון הרע, ובהתאם </w:t>
      </w:r>
      <w:proofErr w:type="spellStart"/>
      <w:r w:rsidRPr="0099157E">
        <w:rPr>
          <w:rFonts w:hint="cs"/>
          <w:rtl/>
        </w:rPr>
        <w:t>לסע</w:t>
      </w:r>
      <w:proofErr w:type="spellEnd"/>
      <w:r w:rsidRPr="0099157E">
        <w:rPr>
          <w:rFonts w:hint="cs"/>
          <w:rtl/>
        </w:rPr>
        <w:t xml:space="preserve">' 29א(ב)(2) לחוק הגנת הפרטיות ועותר לחיוב הנתבעת בפיצוי כספי אפוא בסך של 130,000 ₪. </w:t>
      </w:r>
    </w:p>
    <w:p w:rsidR="00FE17CC" w:rsidRPr="0099157E" w:rsidRDefault="00FE17CC" w:rsidP="00FE17CC">
      <w:pPr>
        <w:pStyle w:val="af"/>
        <w:jc w:val="both"/>
      </w:pPr>
    </w:p>
    <w:p w:rsidR="00FE17CC" w:rsidRPr="0099157E" w:rsidRDefault="00FE17CC" w:rsidP="00FE17CC">
      <w:pPr>
        <w:pStyle w:val="af"/>
        <w:jc w:val="both"/>
        <w:rPr>
          <w:b/>
          <w:bCs/>
          <w:u w:val="single"/>
          <w:rtl/>
        </w:rPr>
      </w:pPr>
      <w:r w:rsidRPr="0099157E">
        <w:rPr>
          <w:rFonts w:hint="cs"/>
          <w:b/>
          <w:bCs/>
          <w:u w:val="single"/>
          <w:rtl/>
        </w:rPr>
        <w:t>טענות הנתבעת</w:t>
      </w:r>
    </w:p>
    <w:p w:rsidR="00FE17CC" w:rsidRPr="0099157E" w:rsidRDefault="00FE17CC" w:rsidP="00FE17CC">
      <w:pPr>
        <w:pStyle w:val="af"/>
        <w:jc w:val="both"/>
        <w:rPr>
          <w:b/>
          <w:bCs/>
          <w:u w:val="single"/>
          <w:rtl/>
        </w:rPr>
      </w:pPr>
    </w:p>
    <w:p w:rsidR="00FE17CC" w:rsidRPr="0099157E" w:rsidRDefault="00FE17CC" w:rsidP="00FE17CC">
      <w:pPr>
        <w:pStyle w:val="David"/>
        <w:numPr>
          <w:ilvl w:val="0"/>
          <w:numId w:val="1"/>
        </w:numPr>
        <w:rPr>
          <w:rFonts w:ascii="David" w:hAnsi="David"/>
          <w:rtl/>
        </w:rPr>
      </w:pPr>
      <w:r w:rsidRPr="0099157E">
        <w:rPr>
          <w:rFonts w:ascii="David" w:hAnsi="David"/>
          <w:rtl/>
        </w:rPr>
        <w:t>הנתבעת טוענת כי דין התביעה להידחות וזאת בשל תחולת החסינות לפי סעיף 13(5) לחוק איסור לשון הרע, שעניינו ב</w:t>
      </w:r>
      <w:r w:rsidRPr="0099157E">
        <w:rPr>
          <w:rtl/>
        </w:rPr>
        <w:t>פרסום של בעל דין תוך כדי דיון בפני גורם משפטי.</w:t>
      </w:r>
      <w:r w:rsidRPr="0099157E">
        <w:rPr>
          <w:rFonts w:ascii="David" w:hAnsi="David"/>
          <w:rtl/>
        </w:rPr>
        <w:t xml:space="preserve"> </w:t>
      </w:r>
    </w:p>
    <w:p w:rsidR="00FE17CC" w:rsidRPr="0099157E" w:rsidRDefault="00FE17CC" w:rsidP="00FE17CC">
      <w:pPr>
        <w:pStyle w:val="David"/>
        <w:ind w:left="720"/>
        <w:rPr>
          <w:rFonts w:ascii="David" w:hAnsi="David"/>
        </w:rPr>
      </w:pPr>
    </w:p>
    <w:p w:rsidR="00FE17CC" w:rsidRPr="0099157E" w:rsidRDefault="00FE17CC" w:rsidP="00000099">
      <w:pPr>
        <w:pStyle w:val="David"/>
        <w:numPr>
          <w:ilvl w:val="0"/>
          <w:numId w:val="1"/>
        </w:numPr>
        <w:rPr>
          <w:rFonts w:ascii="David" w:hAnsi="David"/>
        </w:rPr>
      </w:pPr>
      <w:r w:rsidRPr="0099157E">
        <w:rPr>
          <w:rFonts w:ascii="David" w:hAnsi="David"/>
          <w:rtl/>
        </w:rPr>
        <w:t xml:space="preserve">הנתבעת טוענת כי הדברים שנכתבו בתביעתה אודות התובע נועדו להוות רקע תומך לטענותיה בעניין אופיו והתנהגותו של </w:t>
      </w:r>
      <w:r w:rsidR="00000099">
        <w:rPr>
          <w:rFonts w:ascii="David" w:hAnsi="David" w:hint="cs"/>
          <w:rtl/>
        </w:rPr>
        <w:t>הגרוש</w:t>
      </w:r>
      <w:r w:rsidRPr="0099157E">
        <w:rPr>
          <w:rFonts w:ascii="David" w:hAnsi="David"/>
          <w:rtl/>
        </w:rPr>
        <w:t xml:space="preserve">, שנטענו בתביעתה, ובכלל זה, טענותיה בתביעתה כי </w:t>
      </w:r>
      <w:r w:rsidR="00000099">
        <w:rPr>
          <w:rFonts w:ascii="David" w:hAnsi="David"/>
          <w:rtl/>
        </w:rPr>
        <w:t>הגרוש</w:t>
      </w:r>
      <w:r w:rsidRPr="0099157E">
        <w:rPr>
          <w:rFonts w:ascii="David" w:hAnsi="David"/>
          <w:rtl/>
        </w:rPr>
        <w:t xml:space="preserve"> כוחני, אנוכי ובוגדני, וכי הוא ניהל במהלך הנישואין בו זמנית 27 מערכות יחסים עם נשים שונות, תוך שהוא עושה שימוש בזהויות בדויות ומייחס לעצמו תכונות שאין לו. מכל מקום, החסינות לפי סע' 13(5) לחוק היא מוחלטת והיא חלה גם כאשר מדובר בפרסום שקרי וזדוני ואף כאשר אין בתוכנו כדי לשרת את ההליך המשפטי. מטרת החסינות </w:t>
      </w:r>
      <w:r w:rsidRPr="0099157E">
        <w:rPr>
          <w:rFonts w:ascii="David" w:hAnsi="David"/>
          <w:rtl/>
        </w:rPr>
        <w:lastRenderedPageBreak/>
        <w:t xml:space="preserve">היא להגן על האינטרס הציבורי בקיום דיון חופשי ללא אפקט מצנן של הגשת תביעות. לטענת הנתבעת, הדברים אמורים ביתר שאת ביחס לכתבי טענות ועמדות בבית המשפט לענייני משפחה בעניינם של בני זוג, שבהם הסכסוכים גולשים לא אחת מציר היחסים הישירים בין בני הזוג גם למעגלים משפחתיים רחבים יותר. </w:t>
      </w:r>
    </w:p>
    <w:p w:rsidR="00FE17CC" w:rsidRPr="0099157E" w:rsidRDefault="00FE17CC" w:rsidP="00FE17CC">
      <w:pPr>
        <w:pStyle w:val="af"/>
        <w:jc w:val="both"/>
      </w:pPr>
    </w:p>
    <w:p w:rsidR="00FE17CC" w:rsidRPr="0099157E" w:rsidRDefault="00FE17CC" w:rsidP="00000099">
      <w:pPr>
        <w:pStyle w:val="David"/>
        <w:numPr>
          <w:ilvl w:val="0"/>
          <w:numId w:val="1"/>
        </w:numPr>
        <w:rPr>
          <w:rFonts w:ascii="David" w:hAnsi="David"/>
          <w:rtl/>
        </w:rPr>
      </w:pPr>
      <w:r w:rsidRPr="0099157E">
        <w:rPr>
          <w:rFonts w:ascii="David" w:hAnsi="David"/>
          <w:rtl/>
        </w:rPr>
        <w:t>הנתבעת טוענת כי מי שעסק בכתובת שבה תבוצע המסירה ומי ששלח את תביעתה לכתובת מגורי התובע ורעייתו הוא בא כוחה בבית הדין הרבני (להלן:</w:t>
      </w:r>
      <w:r w:rsidRPr="0099157E">
        <w:rPr>
          <w:rFonts w:ascii="David" w:hAnsi="David"/>
          <w:b/>
          <w:bCs/>
          <w:rtl/>
        </w:rPr>
        <w:t xml:space="preserve"> עורך הדין</w:t>
      </w:r>
      <w:r w:rsidRPr="0099157E">
        <w:rPr>
          <w:rFonts w:ascii="David" w:hAnsi="David"/>
          <w:rtl/>
        </w:rPr>
        <w:t xml:space="preserve">), והיא כלל לא </w:t>
      </w:r>
      <w:proofErr w:type="spellStart"/>
      <w:r w:rsidRPr="0099157E">
        <w:rPr>
          <w:rFonts w:ascii="David" w:hAnsi="David"/>
          <w:rtl/>
        </w:rPr>
        <w:t>היתה</w:t>
      </w:r>
      <w:proofErr w:type="spellEnd"/>
      <w:r w:rsidRPr="0099157E">
        <w:rPr>
          <w:rFonts w:ascii="David" w:hAnsi="David"/>
          <w:rtl/>
        </w:rPr>
        <w:t xml:space="preserve"> מעורבת בעניין. הבחירה בכתובת מגורי התובע נבעה מכך ש</w:t>
      </w:r>
      <w:r w:rsidR="00000099">
        <w:rPr>
          <w:rFonts w:ascii="David" w:hAnsi="David"/>
          <w:rtl/>
        </w:rPr>
        <w:t>הגרוש</w:t>
      </w:r>
      <w:r w:rsidRPr="0099157E">
        <w:rPr>
          <w:rFonts w:ascii="David" w:hAnsi="David"/>
          <w:rtl/>
        </w:rPr>
        <w:t xml:space="preserve"> בעצמו רשם בהליך ישוב סכסוך שפתח ביום 30.7.23 את כתובת בית הוריו ברח' </w:t>
      </w:r>
      <w:r w:rsidR="00000099">
        <w:rPr>
          <w:rFonts w:ascii="David" w:hAnsi="David" w:hint="cs"/>
          <w:rtl/>
        </w:rPr>
        <w:t>...</w:t>
      </w:r>
      <w:r w:rsidRPr="0099157E">
        <w:rPr>
          <w:rFonts w:ascii="David" w:hAnsi="David"/>
          <w:rtl/>
        </w:rPr>
        <w:t xml:space="preserve"> 15 ב</w:t>
      </w:r>
      <w:r w:rsidR="00000099">
        <w:rPr>
          <w:rFonts w:ascii="David" w:hAnsi="David" w:hint="cs"/>
          <w:rtl/>
        </w:rPr>
        <w:t>-</w:t>
      </w:r>
      <w:r w:rsidR="00000099">
        <w:rPr>
          <w:rFonts w:ascii="David" w:hAnsi="David"/>
        </w:rPr>
        <w:t>B</w:t>
      </w:r>
      <w:r w:rsidRPr="0099157E">
        <w:rPr>
          <w:rFonts w:ascii="David" w:hAnsi="David"/>
          <w:rtl/>
        </w:rPr>
        <w:t xml:space="preserve"> ככתובת מגוריו. משלוח כתב התביעה לכתובת זו </w:t>
      </w:r>
      <w:r w:rsidR="00D50559" w:rsidRPr="0099157E">
        <w:rPr>
          <w:rFonts w:ascii="David" w:hAnsi="David" w:hint="cs"/>
          <w:rtl/>
        </w:rPr>
        <w:t xml:space="preserve">כנראה </w:t>
      </w:r>
      <w:r w:rsidRPr="0099157E">
        <w:rPr>
          <w:rFonts w:ascii="David" w:hAnsi="David"/>
          <w:rtl/>
        </w:rPr>
        <w:t xml:space="preserve">גם נועד להבטיח שכתב התביעה יגיע לידי </w:t>
      </w:r>
      <w:r w:rsidR="00000099">
        <w:rPr>
          <w:rFonts w:ascii="David" w:hAnsi="David"/>
          <w:rtl/>
        </w:rPr>
        <w:t>הגרוש</w:t>
      </w:r>
      <w:r w:rsidRPr="0099157E">
        <w:rPr>
          <w:rFonts w:ascii="David" w:hAnsi="David"/>
          <w:rtl/>
        </w:rPr>
        <w:t>, שהיה בשירות מילואים במסגרת צו 8 מאז אירועי השבת הארורה ביום 7.10.2</w:t>
      </w:r>
      <w:r w:rsidR="00000099">
        <w:rPr>
          <w:rFonts w:ascii="David" w:hAnsi="David" w:hint="cs"/>
          <w:rtl/>
        </w:rPr>
        <w:t>3</w:t>
      </w:r>
      <w:r w:rsidRPr="0099157E">
        <w:rPr>
          <w:rFonts w:ascii="David" w:hAnsi="David"/>
          <w:rtl/>
        </w:rPr>
        <w:t>, ולהימנע מהוצאות הכרוכים בניסיונות מסירה בכתובת לא אפקטיבית. מכל מקום, משלוח כתב התביעה לכתובת מגורי התובע ורעייתו נעשה בתום לב, ומה גם, שאפילו בתעודת הגירושין של הנתבעת ו</w:t>
      </w:r>
      <w:r w:rsidR="00000099">
        <w:rPr>
          <w:rFonts w:ascii="David" w:hAnsi="David"/>
          <w:rtl/>
        </w:rPr>
        <w:t>הגרוש</w:t>
      </w:r>
      <w:r w:rsidRPr="0099157E">
        <w:rPr>
          <w:rFonts w:ascii="David" w:hAnsi="David"/>
          <w:rtl/>
        </w:rPr>
        <w:t xml:space="preserve"> מיום 14.2.24, כ-4 חודשים מאז חשיפת התובע ורעייתו לפרסום, והגם ש</w:t>
      </w:r>
      <w:r w:rsidR="00000099">
        <w:rPr>
          <w:rFonts w:ascii="David" w:hAnsi="David"/>
          <w:rtl/>
        </w:rPr>
        <w:t>הגרוש</w:t>
      </w:r>
      <w:r w:rsidRPr="0099157E">
        <w:rPr>
          <w:rFonts w:ascii="David" w:hAnsi="David"/>
          <w:rtl/>
        </w:rPr>
        <w:t xml:space="preserve"> עדיין שוכר דירה ב</w:t>
      </w:r>
      <w:r w:rsidR="00000099">
        <w:rPr>
          <w:rFonts w:ascii="David" w:hAnsi="David" w:hint="cs"/>
          <w:rtl/>
        </w:rPr>
        <w:t>-</w:t>
      </w:r>
      <w:r w:rsidR="00000099">
        <w:rPr>
          <w:rFonts w:ascii="David" w:hAnsi="David"/>
        </w:rPr>
        <w:t>A</w:t>
      </w:r>
      <w:r w:rsidRPr="0099157E">
        <w:rPr>
          <w:rFonts w:ascii="David" w:hAnsi="David"/>
          <w:rtl/>
        </w:rPr>
        <w:t xml:space="preserve">, נרשם מפי </w:t>
      </w:r>
      <w:r w:rsidR="00000099">
        <w:rPr>
          <w:rFonts w:ascii="David" w:hAnsi="David"/>
          <w:rtl/>
        </w:rPr>
        <w:t>הגרוש</w:t>
      </w:r>
      <w:r w:rsidRPr="0099157E">
        <w:rPr>
          <w:rFonts w:ascii="David" w:hAnsi="David"/>
          <w:rtl/>
        </w:rPr>
        <w:t xml:space="preserve"> כי הוא גר ברח' </w:t>
      </w:r>
      <w:r w:rsidR="00000099">
        <w:rPr>
          <w:rFonts w:ascii="David" w:hAnsi="David" w:hint="cs"/>
          <w:rtl/>
        </w:rPr>
        <w:t>...</w:t>
      </w:r>
      <w:r w:rsidRPr="0099157E">
        <w:rPr>
          <w:rFonts w:ascii="David" w:hAnsi="David"/>
          <w:rtl/>
        </w:rPr>
        <w:t xml:space="preserve"> ב</w:t>
      </w:r>
      <w:r w:rsidR="00000099">
        <w:rPr>
          <w:rFonts w:ascii="David" w:hAnsi="David" w:hint="cs"/>
          <w:rtl/>
        </w:rPr>
        <w:t>-</w:t>
      </w:r>
      <w:r w:rsidR="00000099">
        <w:rPr>
          <w:rFonts w:ascii="David" w:hAnsi="David"/>
        </w:rPr>
        <w:t>B</w:t>
      </w:r>
      <w:r w:rsidRPr="0099157E">
        <w:rPr>
          <w:rFonts w:ascii="David" w:hAnsi="David"/>
          <w:rtl/>
        </w:rPr>
        <w:t xml:space="preserve">. הנתבעת מדגישה כי המעטפה עם כתב התביעה </w:t>
      </w:r>
      <w:r w:rsidR="00D50559" w:rsidRPr="0099157E">
        <w:rPr>
          <w:rFonts w:ascii="David" w:hAnsi="David" w:hint="cs"/>
          <w:rtl/>
        </w:rPr>
        <w:t>יועדה</w:t>
      </w:r>
      <w:r w:rsidRPr="0099157E">
        <w:rPr>
          <w:rFonts w:ascii="David" w:hAnsi="David"/>
          <w:rtl/>
        </w:rPr>
        <w:t xml:space="preserve"> ל</w:t>
      </w:r>
      <w:r w:rsidR="00000099">
        <w:rPr>
          <w:rFonts w:ascii="David" w:hAnsi="David"/>
          <w:rtl/>
        </w:rPr>
        <w:t>גרוש</w:t>
      </w:r>
      <w:r w:rsidRPr="0099157E">
        <w:rPr>
          <w:rFonts w:ascii="David" w:hAnsi="David"/>
          <w:rtl/>
        </w:rPr>
        <w:t>, ולא לתובע</w:t>
      </w:r>
      <w:r w:rsidR="00D50559" w:rsidRPr="0099157E">
        <w:rPr>
          <w:rFonts w:ascii="David" w:hAnsi="David" w:hint="cs"/>
          <w:rtl/>
        </w:rPr>
        <w:t xml:space="preserve"> או כל גורם אחר</w:t>
      </w:r>
      <w:r w:rsidRPr="0099157E">
        <w:rPr>
          <w:rFonts w:ascii="David" w:hAnsi="David"/>
          <w:rtl/>
        </w:rPr>
        <w:t xml:space="preserve">, ועל המעטפה הסגורה נרשמו פרטיו של </w:t>
      </w:r>
      <w:r w:rsidR="00000099">
        <w:rPr>
          <w:rFonts w:ascii="David" w:hAnsi="David"/>
          <w:rtl/>
        </w:rPr>
        <w:t>הגרוש</w:t>
      </w:r>
      <w:r w:rsidRPr="0099157E">
        <w:rPr>
          <w:rFonts w:ascii="David" w:hAnsi="David"/>
          <w:rtl/>
        </w:rPr>
        <w:t xml:space="preserve"> ולא של התובע</w:t>
      </w:r>
      <w:r w:rsidR="00D50559" w:rsidRPr="0099157E">
        <w:rPr>
          <w:rFonts w:ascii="David" w:hAnsi="David" w:hint="cs"/>
          <w:rtl/>
        </w:rPr>
        <w:t xml:space="preserve"> או רעייתו,</w:t>
      </w:r>
      <w:r w:rsidRPr="0099157E">
        <w:rPr>
          <w:rFonts w:ascii="David" w:hAnsi="David"/>
          <w:rtl/>
        </w:rPr>
        <w:t xml:space="preserve"> והמעטפה כוונה להימסר ל</w:t>
      </w:r>
      <w:r w:rsidR="00000099">
        <w:rPr>
          <w:rFonts w:ascii="David" w:hAnsi="David"/>
          <w:rtl/>
        </w:rPr>
        <w:t>גרוש</w:t>
      </w:r>
      <w:r w:rsidRPr="0099157E">
        <w:rPr>
          <w:rFonts w:ascii="David" w:hAnsi="David"/>
          <w:rtl/>
        </w:rPr>
        <w:t xml:space="preserve"> ולא לכל אדם אחר. הנתבעת טוענת כי בנסיבות אלו, האשם לכך שהתובע ורעייתו נחשפו לפרסום אינו שלה, כי אם של </w:t>
      </w:r>
      <w:r w:rsidR="00000099">
        <w:rPr>
          <w:rFonts w:ascii="David" w:hAnsi="David"/>
          <w:rtl/>
        </w:rPr>
        <w:t>הגרוש</w:t>
      </w:r>
      <w:r w:rsidRPr="0099157E">
        <w:rPr>
          <w:rFonts w:ascii="David" w:hAnsi="David"/>
          <w:rtl/>
        </w:rPr>
        <w:t xml:space="preserve">, אשר הנחה את התובע לקבל ולפתוח עבורו את דבר הדואר שמוען אליו, ולחילופין זהו </w:t>
      </w:r>
      <w:proofErr w:type="spellStart"/>
      <w:r w:rsidRPr="0099157E">
        <w:rPr>
          <w:rFonts w:ascii="David" w:hAnsi="David"/>
          <w:rtl/>
        </w:rPr>
        <w:t>אשמם</w:t>
      </w:r>
      <w:proofErr w:type="spellEnd"/>
      <w:r w:rsidRPr="0099157E">
        <w:rPr>
          <w:rFonts w:ascii="David" w:hAnsi="David"/>
          <w:rtl/>
        </w:rPr>
        <w:t xml:space="preserve"> של התובע ורעייתו שבחרו לעיין בכתב תביעה שהוגש לבית הדין הרבני, הגם שמדובר במסמך חסוי למי שאינו צד או גורם בהליך.</w:t>
      </w:r>
    </w:p>
    <w:p w:rsidR="00FE17CC" w:rsidRPr="0099157E" w:rsidRDefault="00FE17CC" w:rsidP="00FE17CC">
      <w:pPr>
        <w:pStyle w:val="af"/>
        <w:jc w:val="both"/>
      </w:pPr>
    </w:p>
    <w:p w:rsidR="00FE17CC" w:rsidRPr="0099157E" w:rsidRDefault="00FE17CC" w:rsidP="00FE17CC">
      <w:pPr>
        <w:pStyle w:val="David"/>
        <w:numPr>
          <w:ilvl w:val="0"/>
          <w:numId w:val="1"/>
        </w:numPr>
        <w:rPr>
          <w:rFonts w:ascii="David" w:hAnsi="David"/>
          <w:rtl/>
        </w:rPr>
      </w:pPr>
      <w:r w:rsidRPr="0099157E">
        <w:rPr>
          <w:rFonts w:ascii="David" w:hAnsi="David"/>
          <w:rtl/>
        </w:rPr>
        <w:t xml:space="preserve">הנתבעת טענה בכתב תביעתה כי גם אם תידחה טענתה לעניין תחולת החסינות לפי סע' 13(5) לחוק איסור לשון הרע, הרי שיש להחיל לגביה את הגנת אמת בפרסום לפי סע' 14 לחוק ואת הגנת תום הלב </w:t>
      </w:r>
      <w:proofErr w:type="spellStart"/>
      <w:r w:rsidRPr="0099157E">
        <w:rPr>
          <w:rFonts w:ascii="David" w:hAnsi="David"/>
          <w:rtl/>
        </w:rPr>
        <w:t>שבסע</w:t>
      </w:r>
      <w:proofErr w:type="spellEnd"/>
      <w:r w:rsidRPr="0099157E">
        <w:rPr>
          <w:rFonts w:ascii="David" w:hAnsi="David"/>
          <w:rtl/>
        </w:rPr>
        <w:t>' 15(1) לחוק.</w:t>
      </w:r>
    </w:p>
    <w:p w:rsidR="00FE17CC" w:rsidRPr="0099157E" w:rsidRDefault="00FE17CC" w:rsidP="00FE17CC">
      <w:pPr>
        <w:pStyle w:val="af"/>
        <w:jc w:val="both"/>
      </w:pPr>
    </w:p>
    <w:p w:rsidR="00FE17CC" w:rsidRPr="0099157E" w:rsidRDefault="00FE17CC" w:rsidP="00FE17CC">
      <w:pPr>
        <w:pStyle w:val="David"/>
        <w:numPr>
          <w:ilvl w:val="0"/>
          <w:numId w:val="1"/>
        </w:numPr>
        <w:rPr>
          <w:rFonts w:ascii="David" w:hAnsi="David"/>
          <w:rtl/>
        </w:rPr>
      </w:pPr>
      <w:r w:rsidRPr="0099157E">
        <w:rPr>
          <w:rFonts w:ascii="David" w:hAnsi="David"/>
          <w:rtl/>
        </w:rPr>
        <w:t>הנתבעת טוענת כי בכל מקרה, ולעניין הפיצוי המבוקש, עומדות לה ההקלות הקבועות בחוק.</w:t>
      </w:r>
    </w:p>
    <w:p w:rsidR="00FE17CC" w:rsidRPr="0099157E" w:rsidRDefault="00FE17CC" w:rsidP="00FE17CC">
      <w:pPr>
        <w:pStyle w:val="af"/>
        <w:spacing w:line="360" w:lineRule="auto"/>
        <w:jc w:val="both"/>
      </w:pPr>
    </w:p>
    <w:p w:rsidR="00FE17CC" w:rsidRPr="0099157E" w:rsidRDefault="00FE17CC" w:rsidP="00FE17CC">
      <w:pPr>
        <w:jc w:val="both"/>
      </w:pPr>
    </w:p>
    <w:p w:rsidR="00FE17CC" w:rsidRPr="0099157E" w:rsidRDefault="00FE17CC" w:rsidP="00FE17CC">
      <w:pPr>
        <w:pStyle w:val="af"/>
        <w:spacing w:line="360" w:lineRule="auto"/>
        <w:ind w:left="1080"/>
        <w:jc w:val="both"/>
        <w:rPr>
          <w:b/>
          <w:bCs/>
          <w:sz w:val="28"/>
          <w:szCs w:val="28"/>
          <w:u w:val="single"/>
          <w:rtl/>
        </w:rPr>
      </w:pPr>
      <w:r w:rsidRPr="0099157E">
        <w:rPr>
          <w:rFonts w:hint="cs"/>
          <w:b/>
          <w:bCs/>
          <w:sz w:val="28"/>
          <w:szCs w:val="28"/>
          <w:u w:val="single"/>
          <w:rtl/>
        </w:rPr>
        <w:t>דיון והכרעה</w:t>
      </w:r>
    </w:p>
    <w:p w:rsidR="00FE17CC" w:rsidRPr="0099157E" w:rsidRDefault="00FE17CC" w:rsidP="00FE17CC">
      <w:pPr>
        <w:pStyle w:val="af"/>
        <w:spacing w:line="360" w:lineRule="auto"/>
        <w:jc w:val="both"/>
        <w:rPr>
          <w:rtl/>
        </w:rPr>
      </w:pPr>
    </w:p>
    <w:p w:rsidR="00FE17CC" w:rsidRPr="0099157E" w:rsidRDefault="00FE17CC" w:rsidP="00FE17CC">
      <w:pPr>
        <w:pStyle w:val="af"/>
        <w:numPr>
          <w:ilvl w:val="0"/>
          <w:numId w:val="1"/>
        </w:numPr>
        <w:spacing w:line="360" w:lineRule="auto"/>
        <w:jc w:val="both"/>
      </w:pPr>
      <w:r w:rsidRPr="0099157E">
        <w:rPr>
          <w:rFonts w:hint="cs"/>
          <w:rtl/>
        </w:rPr>
        <w:t xml:space="preserve">אקדים אחרית לראשית ואומר, כי </w:t>
      </w:r>
      <w:proofErr w:type="spellStart"/>
      <w:r w:rsidRPr="0099157E">
        <w:rPr>
          <w:rFonts w:hint="cs"/>
          <w:rtl/>
        </w:rPr>
        <w:t>סבורתני</w:t>
      </w:r>
      <w:proofErr w:type="spellEnd"/>
      <w:r w:rsidRPr="0099157E">
        <w:rPr>
          <w:rFonts w:hint="cs"/>
          <w:rtl/>
        </w:rPr>
        <w:t xml:space="preserve"> כי דין התביעה להידחות, וזאת, מאחר והפרסום הוא בגדר "פרסום מותר", החוסה תחת החסינות הקבועה </w:t>
      </w:r>
      <w:proofErr w:type="spellStart"/>
      <w:r w:rsidRPr="0099157E">
        <w:rPr>
          <w:rFonts w:hint="cs"/>
          <w:rtl/>
        </w:rPr>
        <w:t>בסע</w:t>
      </w:r>
      <w:proofErr w:type="spellEnd"/>
      <w:r w:rsidRPr="0099157E">
        <w:rPr>
          <w:rFonts w:hint="cs"/>
          <w:rtl/>
        </w:rPr>
        <w:t>' 13(5) לחוק איסור לשון הרע, אשר חלה גם ביחס לפגיעה בפרטיות</w:t>
      </w:r>
      <w:r w:rsidR="007A08A2">
        <w:rPr>
          <w:rFonts w:hint="cs"/>
          <w:rtl/>
        </w:rPr>
        <w:t xml:space="preserve"> וזאת</w:t>
      </w:r>
      <w:r w:rsidRPr="0099157E">
        <w:rPr>
          <w:rFonts w:hint="cs"/>
          <w:rtl/>
        </w:rPr>
        <w:t xml:space="preserve"> מכוח סעיף 18(1) לחוק הגנת הפרטיות. </w:t>
      </w:r>
    </w:p>
    <w:p w:rsidR="00FE17CC" w:rsidRPr="0099157E" w:rsidRDefault="00FE17CC" w:rsidP="00FE17CC">
      <w:pPr>
        <w:pStyle w:val="af"/>
        <w:spacing w:line="360" w:lineRule="auto"/>
        <w:jc w:val="both"/>
      </w:pPr>
    </w:p>
    <w:p w:rsidR="00FE17CC" w:rsidRPr="0099157E" w:rsidRDefault="00FE17CC" w:rsidP="00FE17CC">
      <w:pPr>
        <w:pStyle w:val="af"/>
        <w:numPr>
          <w:ilvl w:val="0"/>
          <w:numId w:val="1"/>
        </w:numPr>
        <w:spacing w:line="360" w:lineRule="auto"/>
        <w:jc w:val="both"/>
        <w:rPr>
          <w:rtl/>
        </w:rPr>
      </w:pPr>
      <w:r w:rsidRPr="0099157E">
        <w:rPr>
          <w:rFonts w:hint="cs"/>
          <w:rtl/>
        </w:rPr>
        <w:lastRenderedPageBreak/>
        <w:t xml:space="preserve">כפי שיפורט בהרחבה להלן, החסינות </w:t>
      </w:r>
      <w:proofErr w:type="spellStart"/>
      <w:r w:rsidRPr="0099157E">
        <w:rPr>
          <w:rFonts w:hint="cs"/>
          <w:rtl/>
        </w:rPr>
        <w:t>בסע</w:t>
      </w:r>
      <w:proofErr w:type="spellEnd"/>
      <w:r w:rsidRPr="0099157E">
        <w:rPr>
          <w:rFonts w:hint="cs"/>
          <w:rtl/>
        </w:rPr>
        <w:t xml:space="preserve">' 13(5) לחוק היא בגדר סייג מהותי לאחריות, דהיינו בהתקיים הנסיבות המפורטות בסעיף אין קמה עוולה כלל, ולא </w:t>
      </w:r>
      <w:r w:rsidR="00D50559" w:rsidRPr="0099157E">
        <w:rPr>
          <w:rFonts w:hint="cs"/>
          <w:rtl/>
        </w:rPr>
        <w:t xml:space="preserve">מהווה </w:t>
      </w:r>
      <w:r w:rsidRPr="0099157E">
        <w:rPr>
          <w:rFonts w:hint="cs"/>
          <w:rtl/>
        </w:rPr>
        <w:t>רק חסינות דיונית. גם בהינתן שהתובע אינו צד לסכסוך הגירושין בין הנתבעת ל</w:t>
      </w:r>
      <w:r w:rsidR="00000099">
        <w:rPr>
          <w:rFonts w:hint="cs"/>
          <w:rtl/>
        </w:rPr>
        <w:t>גרוש</w:t>
      </w:r>
      <w:r w:rsidRPr="0099157E">
        <w:rPr>
          <w:rFonts w:hint="cs"/>
          <w:rtl/>
        </w:rPr>
        <w:t>, וגם בהנחה שהפרסום הוא שקרי, והדברים נכתבו</w:t>
      </w:r>
      <w:r w:rsidR="00D50559" w:rsidRPr="0099157E">
        <w:rPr>
          <w:rFonts w:hint="cs"/>
          <w:rtl/>
        </w:rPr>
        <w:t xml:space="preserve"> בחוסר תום לב ובכוונה לפגוע, ואף</w:t>
      </w:r>
      <w:r w:rsidRPr="0099157E">
        <w:rPr>
          <w:rFonts w:hint="cs"/>
          <w:rtl/>
        </w:rPr>
        <w:t xml:space="preserve"> אם אין באותו סעיף 5 נושא התביעה הכרוכה כדי לתרום באופן ענייני לטענות הנתבעת בסכסוך הגירושין מול </w:t>
      </w:r>
      <w:r w:rsidR="00000099">
        <w:rPr>
          <w:rFonts w:hint="cs"/>
          <w:rtl/>
        </w:rPr>
        <w:t>הגרוש</w:t>
      </w:r>
      <w:r w:rsidRPr="0099157E">
        <w:rPr>
          <w:rFonts w:hint="cs"/>
          <w:rtl/>
        </w:rPr>
        <w:t xml:space="preserve">, הרי שלפי הפסיקה, אין בכך כדי להוציא את הפרסום מגדר "פרסום מותר" הנהנה מתחולת סע' 13(5) לחוק איסור לשון הרע. </w:t>
      </w:r>
    </w:p>
    <w:p w:rsidR="00FE17CC" w:rsidRPr="0099157E" w:rsidRDefault="00FE17CC" w:rsidP="00FE17CC">
      <w:pPr>
        <w:pStyle w:val="af"/>
        <w:jc w:val="both"/>
      </w:pPr>
    </w:p>
    <w:p w:rsidR="00FE17CC" w:rsidRPr="0099157E" w:rsidRDefault="00FE17CC" w:rsidP="007A08A2">
      <w:pPr>
        <w:pStyle w:val="af"/>
        <w:numPr>
          <w:ilvl w:val="0"/>
          <w:numId w:val="1"/>
        </w:numPr>
        <w:spacing w:line="360" w:lineRule="auto"/>
        <w:jc w:val="both"/>
        <w:rPr>
          <w:rtl/>
        </w:rPr>
      </w:pPr>
      <w:r w:rsidRPr="0099157E">
        <w:rPr>
          <w:rFonts w:hint="cs"/>
          <w:rtl/>
        </w:rPr>
        <w:t xml:space="preserve">תביעת הנתבעת נגד </w:t>
      </w:r>
      <w:r w:rsidR="00000099">
        <w:rPr>
          <w:rFonts w:hint="cs"/>
          <w:rtl/>
        </w:rPr>
        <w:t>הגרוש</w:t>
      </w:r>
      <w:r w:rsidRPr="0099157E">
        <w:rPr>
          <w:rFonts w:hint="cs"/>
          <w:rtl/>
        </w:rPr>
        <w:t xml:space="preserve"> אמנם נשלחה לכתובת מגורי התובע ורעייתו, שם לא גר </w:t>
      </w:r>
      <w:r w:rsidR="00000099">
        <w:rPr>
          <w:rFonts w:hint="cs"/>
          <w:rtl/>
        </w:rPr>
        <w:t>הגרוש</w:t>
      </w:r>
      <w:r w:rsidRPr="0099157E">
        <w:rPr>
          <w:rFonts w:hint="cs"/>
          <w:rtl/>
        </w:rPr>
        <w:t xml:space="preserve"> באותה עת כעניין שבעובדה. </w:t>
      </w:r>
      <w:r w:rsidR="00000099">
        <w:rPr>
          <w:rFonts w:hint="cs"/>
          <w:rtl/>
        </w:rPr>
        <w:t>הגרוש</w:t>
      </w:r>
      <w:r w:rsidRPr="0099157E">
        <w:rPr>
          <w:rFonts w:hint="cs"/>
          <w:rtl/>
        </w:rPr>
        <w:t xml:space="preserve"> שכר דירה בישוב </w:t>
      </w:r>
      <w:r w:rsidR="00000099">
        <w:rPr>
          <w:rFonts w:hint="cs"/>
        </w:rPr>
        <w:t>A</w:t>
      </w:r>
      <w:r w:rsidRPr="0099157E">
        <w:rPr>
          <w:rFonts w:hint="cs"/>
          <w:rtl/>
        </w:rPr>
        <w:t xml:space="preserve"> החל מיום 6.8.2</w:t>
      </w:r>
      <w:r w:rsidR="007A08A2">
        <w:rPr>
          <w:rFonts w:hint="cs"/>
          <w:rtl/>
        </w:rPr>
        <w:t>3</w:t>
      </w:r>
      <w:r w:rsidRPr="0099157E">
        <w:rPr>
          <w:rFonts w:hint="cs"/>
          <w:rtl/>
        </w:rPr>
        <w:t xml:space="preserve"> (הסכם השכירות צורף כ</w:t>
      </w:r>
      <w:r w:rsidRPr="0099157E">
        <w:rPr>
          <w:rFonts w:hint="cs"/>
          <w:b/>
          <w:bCs/>
          <w:u w:val="single"/>
          <w:rtl/>
        </w:rPr>
        <w:t>ת/4</w:t>
      </w:r>
      <w:r w:rsidRPr="0099157E">
        <w:rPr>
          <w:rFonts w:hint="cs"/>
          <w:rtl/>
        </w:rPr>
        <w:t xml:space="preserve">). </w:t>
      </w:r>
    </w:p>
    <w:p w:rsidR="00FE17CC" w:rsidRPr="0099157E" w:rsidRDefault="00FE17CC" w:rsidP="00FE17CC">
      <w:pPr>
        <w:pStyle w:val="af"/>
        <w:jc w:val="both"/>
      </w:pPr>
    </w:p>
    <w:p w:rsidR="00FE17CC" w:rsidRPr="0099157E" w:rsidRDefault="00FE17CC" w:rsidP="00000099">
      <w:pPr>
        <w:pStyle w:val="af"/>
        <w:numPr>
          <w:ilvl w:val="0"/>
          <w:numId w:val="1"/>
        </w:numPr>
        <w:spacing w:line="360" w:lineRule="auto"/>
        <w:jc w:val="both"/>
        <w:rPr>
          <w:rtl/>
        </w:rPr>
      </w:pPr>
      <w:r w:rsidRPr="0099157E">
        <w:rPr>
          <w:rFonts w:hint="cs"/>
          <w:rtl/>
        </w:rPr>
        <w:t>ברם, שוכנעתי מדברי הנתבעת בעדותה לפני, כי משלוח תביעתה לכתובת מגורי התובע ורעייתו, היה בחירה והחלטה של עורך הדין, שמייצגה בהליך הגירושין, ושלו בלבד, ללא מעורבותה, וכי מכל מקום, בנסיבות המקרה, ובין היתר, בשל העובדה ש</w:t>
      </w:r>
      <w:r w:rsidR="00000099">
        <w:rPr>
          <w:rFonts w:hint="cs"/>
          <w:rtl/>
        </w:rPr>
        <w:t>הגרוש</w:t>
      </w:r>
      <w:r w:rsidRPr="0099157E">
        <w:rPr>
          <w:rFonts w:hint="cs"/>
          <w:rtl/>
        </w:rPr>
        <w:t xml:space="preserve"> בעצמו ציין את כתובת מגורי הוריו ככתובת מגוריו בחלק מההקשרים, לרבות בתעודת הגירושין שמועדה כ-4 חודשים מאז נחשפו התובע ורעייתו לפרסום, וכן העובדה כי </w:t>
      </w:r>
      <w:r w:rsidR="00000099">
        <w:rPr>
          <w:rFonts w:hint="cs"/>
          <w:rtl/>
        </w:rPr>
        <w:t>הגרוש</w:t>
      </w:r>
      <w:r w:rsidRPr="0099157E">
        <w:rPr>
          <w:rFonts w:hint="cs"/>
          <w:rtl/>
        </w:rPr>
        <w:t xml:space="preserve"> היה בצו 8 מאז אירועי השבת הארורה ביום 7.10.2</w:t>
      </w:r>
      <w:r w:rsidR="00000099">
        <w:rPr>
          <w:rFonts w:hint="cs"/>
          <w:rtl/>
        </w:rPr>
        <w:t>3</w:t>
      </w:r>
      <w:r w:rsidRPr="0099157E">
        <w:rPr>
          <w:rFonts w:hint="cs"/>
          <w:rtl/>
        </w:rPr>
        <w:t xml:space="preserve"> - שירות מילואים אשר ממנו הוא טרם שוחרר עד עצם היום הזה, כפי שהוברר בעדותו לפני (עמ' 14 </w:t>
      </w:r>
      <w:proofErr w:type="spellStart"/>
      <w:r w:rsidRPr="0099157E">
        <w:rPr>
          <w:rFonts w:hint="cs"/>
          <w:rtl/>
        </w:rPr>
        <w:t>בש</w:t>
      </w:r>
      <w:proofErr w:type="spellEnd"/>
      <w:r w:rsidRPr="0099157E">
        <w:rPr>
          <w:rFonts w:hint="cs"/>
          <w:rtl/>
        </w:rPr>
        <w:t>' 3-2)- הדבר היה על בסיס הנחה סבירה</w:t>
      </w:r>
      <w:r w:rsidR="009B713C" w:rsidRPr="0099157E">
        <w:rPr>
          <w:rFonts w:hint="cs"/>
          <w:rtl/>
        </w:rPr>
        <w:t>,</w:t>
      </w:r>
      <w:r w:rsidRPr="0099157E">
        <w:rPr>
          <w:rFonts w:hint="cs"/>
          <w:rtl/>
        </w:rPr>
        <w:t xml:space="preserve"> ולמצער </w:t>
      </w:r>
      <w:r w:rsidR="009B713C" w:rsidRPr="0099157E">
        <w:rPr>
          <w:rFonts w:hint="cs"/>
          <w:rtl/>
        </w:rPr>
        <w:t xml:space="preserve">על יסוד </w:t>
      </w:r>
      <w:r w:rsidRPr="0099157E">
        <w:rPr>
          <w:rFonts w:hint="cs"/>
          <w:rtl/>
        </w:rPr>
        <w:t xml:space="preserve">טעות סבירה וכנה, שלפיה, רק משלוח התביעה לכתובת מגורי הוריו של </w:t>
      </w:r>
      <w:r w:rsidR="00000099">
        <w:rPr>
          <w:rFonts w:hint="cs"/>
          <w:rtl/>
        </w:rPr>
        <w:t>הגרוש</w:t>
      </w:r>
      <w:r w:rsidRPr="0099157E">
        <w:rPr>
          <w:rFonts w:hint="cs"/>
          <w:rtl/>
        </w:rPr>
        <w:t xml:space="preserve"> יבטיח המצאה אפקטיבית.</w:t>
      </w:r>
    </w:p>
    <w:p w:rsidR="00FE17CC" w:rsidRPr="0099157E" w:rsidRDefault="00FE17CC" w:rsidP="00FE17CC">
      <w:pPr>
        <w:pStyle w:val="af"/>
        <w:jc w:val="both"/>
      </w:pPr>
    </w:p>
    <w:p w:rsidR="00FE17CC" w:rsidRPr="0099157E" w:rsidRDefault="00FE17CC" w:rsidP="00FE17CC">
      <w:pPr>
        <w:pStyle w:val="af"/>
        <w:spacing w:line="360" w:lineRule="auto"/>
        <w:jc w:val="both"/>
        <w:rPr>
          <w:rtl/>
        </w:rPr>
      </w:pPr>
    </w:p>
    <w:p w:rsidR="00FE17CC" w:rsidRPr="0099157E" w:rsidRDefault="00FE17CC" w:rsidP="00FE17CC">
      <w:pPr>
        <w:pStyle w:val="af"/>
        <w:numPr>
          <w:ilvl w:val="0"/>
          <w:numId w:val="1"/>
        </w:numPr>
        <w:spacing w:line="360" w:lineRule="auto"/>
        <w:jc w:val="both"/>
        <w:rPr>
          <w:rtl/>
        </w:rPr>
      </w:pPr>
      <w:r w:rsidRPr="0099157E">
        <w:rPr>
          <w:rFonts w:hint="cs"/>
          <w:rtl/>
        </w:rPr>
        <w:t xml:space="preserve">כמו כן, מצאתי כי יש טעם רב בטענת הנתבעת כי מי שלמעשה הביא בפועל לכך שהתובע ורעייתו יחשפו לפרסום הוא </w:t>
      </w:r>
      <w:r w:rsidR="00000099">
        <w:rPr>
          <w:rFonts w:hint="cs"/>
          <w:rtl/>
        </w:rPr>
        <w:t>הגרוש</w:t>
      </w:r>
      <w:r w:rsidRPr="0099157E">
        <w:rPr>
          <w:rFonts w:hint="cs"/>
          <w:rtl/>
        </w:rPr>
        <w:t xml:space="preserve">, שביקש מאביו לא רק להסתפק באיסוף דבר הדואר הרשום עבורו, אלא גם לפתוח אותו כדי לעדכן אותו במה המדובר.  </w:t>
      </w:r>
    </w:p>
    <w:p w:rsidR="00FE17CC" w:rsidRPr="0099157E" w:rsidRDefault="00FE17CC" w:rsidP="00FE17CC">
      <w:pPr>
        <w:pStyle w:val="af"/>
        <w:spacing w:line="360" w:lineRule="auto"/>
        <w:jc w:val="both"/>
      </w:pPr>
    </w:p>
    <w:p w:rsidR="00FE17CC" w:rsidRPr="0099157E" w:rsidRDefault="00FE17CC" w:rsidP="00FE17CC">
      <w:pPr>
        <w:pStyle w:val="af"/>
        <w:numPr>
          <w:ilvl w:val="0"/>
          <w:numId w:val="1"/>
        </w:numPr>
        <w:spacing w:line="360" w:lineRule="auto"/>
        <w:jc w:val="both"/>
      </w:pPr>
      <w:r w:rsidRPr="0099157E">
        <w:rPr>
          <w:rFonts w:hint="cs"/>
          <w:rtl/>
        </w:rPr>
        <w:t>נימוקי ההכרעה יובאו להלן ביתר פירוט.</w:t>
      </w:r>
    </w:p>
    <w:p w:rsidR="00FE17CC" w:rsidRPr="0099157E" w:rsidRDefault="00FE17CC" w:rsidP="00FE17CC">
      <w:pPr>
        <w:pStyle w:val="af"/>
        <w:spacing w:line="360" w:lineRule="auto"/>
        <w:ind w:left="1080"/>
        <w:jc w:val="both"/>
        <w:rPr>
          <w:rtl/>
        </w:rPr>
      </w:pPr>
    </w:p>
    <w:p w:rsidR="00FE17CC" w:rsidRPr="0099157E" w:rsidRDefault="00FE17CC" w:rsidP="00FE17CC">
      <w:pPr>
        <w:pStyle w:val="af"/>
        <w:spacing w:line="360" w:lineRule="auto"/>
        <w:ind w:left="1080"/>
        <w:jc w:val="both"/>
        <w:rPr>
          <w:b/>
          <w:bCs/>
          <w:sz w:val="28"/>
          <w:szCs w:val="28"/>
          <w:u w:val="single"/>
          <w:rtl/>
        </w:rPr>
      </w:pPr>
      <w:r w:rsidRPr="0099157E">
        <w:rPr>
          <w:rFonts w:hint="cs"/>
          <w:b/>
          <w:bCs/>
          <w:sz w:val="28"/>
          <w:szCs w:val="28"/>
          <w:u w:val="single"/>
          <w:rtl/>
        </w:rPr>
        <w:t>תביעות לשון הרע - המתווה המשפטי</w:t>
      </w:r>
    </w:p>
    <w:p w:rsidR="00FE17CC" w:rsidRPr="0099157E" w:rsidRDefault="00FE17CC" w:rsidP="00FE17CC">
      <w:pPr>
        <w:pStyle w:val="af"/>
        <w:spacing w:line="360" w:lineRule="auto"/>
        <w:ind w:left="1080"/>
        <w:jc w:val="both"/>
      </w:pPr>
    </w:p>
    <w:p w:rsidR="00FE17CC" w:rsidRPr="0099157E" w:rsidRDefault="00FE17CC" w:rsidP="00FE17CC">
      <w:pPr>
        <w:pStyle w:val="af"/>
        <w:numPr>
          <w:ilvl w:val="0"/>
          <w:numId w:val="1"/>
        </w:numPr>
        <w:spacing w:line="360" w:lineRule="auto"/>
        <w:jc w:val="both"/>
      </w:pPr>
      <w:r w:rsidRPr="0099157E">
        <w:rPr>
          <w:rFonts w:hint="cs"/>
          <w:rtl/>
        </w:rPr>
        <w:t xml:space="preserve">קיימים  ארבעה שלבים, שבמסגרתם יש לבחון את קיומה של עוולת לשון הרע. שלבים אלו תוארו מפי כב' השופט י' עמית בע"א 751/10 </w:t>
      </w:r>
      <w:r w:rsidRPr="0099157E">
        <w:rPr>
          <w:rFonts w:hint="cs"/>
          <w:b/>
          <w:bCs/>
          <w:rtl/>
        </w:rPr>
        <w:t xml:space="preserve">פלוני </w:t>
      </w:r>
      <w:r w:rsidRPr="0099157E">
        <w:rPr>
          <w:rFonts w:hint="cs"/>
          <w:rtl/>
        </w:rPr>
        <w:t>נ'</w:t>
      </w:r>
      <w:r w:rsidRPr="0099157E">
        <w:rPr>
          <w:rFonts w:hint="cs"/>
          <w:b/>
          <w:bCs/>
          <w:rtl/>
        </w:rPr>
        <w:t xml:space="preserve"> אילנה דיין – אורבך</w:t>
      </w:r>
      <w:r w:rsidRPr="0099157E">
        <w:rPr>
          <w:rFonts w:hint="cs"/>
          <w:rtl/>
        </w:rPr>
        <w:t xml:space="preserve"> , נבו, ניתן ביום</w:t>
      </w:r>
      <w:r w:rsidR="009B713C" w:rsidRPr="0099157E">
        <w:rPr>
          <w:rtl/>
        </w:rPr>
        <w:br/>
      </w:r>
      <w:r w:rsidRPr="0099157E">
        <w:rPr>
          <w:rFonts w:hint="cs"/>
          <w:rtl/>
        </w:rPr>
        <w:t xml:space="preserve"> 08.02.2012, כדלקמן:</w:t>
      </w:r>
    </w:p>
    <w:p w:rsidR="00FE17CC" w:rsidRPr="0099157E" w:rsidRDefault="00FE17CC" w:rsidP="00FE17CC">
      <w:pPr>
        <w:pStyle w:val="af"/>
        <w:spacing w:line="360" w:lineRule="auto"/>
        <w:jc w:val="both"/>
      </w:pPr>
    </w:p>
    <w:p w:rsidR="00FE17CC" w:rsidRPr="0099157E" w:rsidRDefault="00FE17CC" w:rsidP="00FE17CC">
      <w:pPr>
        <w:pStyle w:val="Ruller40"/>
        <w:ind w:left="1643" w:right="709"/>
        <w:rPr>
          <w:rFonts w:ascii="David" w:hAnsi="David" w:cs="David"/>
          <w:sz w:val="24"/>
          <w:szCs w:val="24"/>
        </w:rPr>
      </w:pPr>
      <w:r w:rsidRPr="0099157E">
        <w:rPr>
          <w:rFonts w:ascii="David" w:hAnsi="David" w:cs="David"/>
          <w:sz w:val="24"/>
          <w:szCs w:val="24"/>
          <w:rtl/>
        </w:rPr>
        <w:lastRenderedPageBreak/>
        <w:t xml:space="preserve">"תרשים הזרימה בתביעות לשון הרע הוא כלהלן: </w:t>
      </w:r>
      <w:r w:rsidRPr="0099157E">
        <w:rPr>
          <w:rFonts w:ascii="David" w:hAnsi="David" w:cs="David"/>
          <w:sz w:val="24"/>
          <w:szCs w:val="24"/>
          <w:u w:val="single"/>
          <w:rtl/>
        </w:rPr>
        <w:t>בשלב הראשון</w:t>
      </w:r>
      <w:r w:rsidRPr="0099157E">
        <w:rPr>
          <w:rFonts w:ascii="David" w:hAnsi="David" w:cs="David"/>
          <w:sz w:val="24"/>
          <w:szCs w:val="24"/>
          <w:rtl/>
        </w:rPr>
        <w:t xml:space="preserve"> נבחנת השאלה אם הביטוי מהווה לשון הרע על פי אחת מארבע החלופות בהגדרה </w:t>
      </w:r>
      <w:hyperlink r:id="rId10" w:history="1">
        <w:r w:rsidRPr="0099157E">
          <w:rPr>
            <w:rStyle w:val="Hyperlink"/>
            <w:rFonts w:ascii="David" w:hAnsi="David" w:cs="David"/>
            <w:color w:val="auto"/>
            <w:sz w:val="24"/>
            <w:szCs w:val="24"/>
            <w:u w:val="none"/>
            <w:rtl/>
          </w:rPr>
          <w:t>שבסעיף 1</w:t>
        </w:r>
      </w:hyperlink>
      <w:r w:rsidRPr="0099157E">
        <w:rPr>
          <w:rFonts w:ascii="David" w:hAnsi="David" w:cs="David"/>
          <w:sz w:val="24"/>
          <w:szCs w:val="24"/>
          <w:rtl/>
        </w:rPr>
        <w:t xml:space="preserve"> לחוק,  והאם מתקיים יסוד הפרסום כמשמעותו </w:t>
      </w:r>
      <w:hyperlink r:id="rId11" w:history="1">
        <w:r w:rsidRPr="0099157E">
          <w:rPr>
            <w:rStyle w:val="Hyperlink"/>
            <w:rFonts w:ascii="David" w:hAnsi="David" w:cs="David"/>
            <w:color w:val="auto"/>
            <w:sz w:val="24"/>
            <w:szCs w:val="24"/>
            <w:u w:val="none"/>
            <w:rtl/>
          </w:rPr>
          <w:t>בסעיף 2</w:t>
        </w:r>
      </w:hyperlink>
      <w:r w:rsidRPr="0099157E">
        <w:rPr>
          <w:rFonts w:ascii="David" w:hAnsi="David" w:cs="David"/>
          <w:sz w:val="24"/>
          <w:szCs w:val="24"/>
          <w:rtl/>
        </w:rPr>
        <w:t xml:space="preserve"> לחוק. רק אם התשובה חיובית עוברים ל</w:t>
      </w:r>
      <w:r w:rsidRPr="0099157E">
        <w:rPr>
          <w:rFonts w:ascii="David" w:hAnsi="David" w:cs="David"/>
          <w:sz w:val="24"/>
          <w:szCs w:val="24"/>
          <w:u w:val="single"/>
          <w:rtl/>
        </w:rPr>
        <w:t>שלב הבא</w:t>
      </w:r>
      <w:r w:rsidRPr="0099157E">
        <w:rPr>
          <w:rFonts w:ascii="David" w:hAnsi="David" w:cs="David"/>
          <w:sz w:val="24"/>
          <w:szCs w:val="24"/>
          <w:rtl/>
        </w:rPr>
        <w:t xml:space="preserve"> ובוחנים אם הביטוי נהנה מאחת </w:t>
      </w:r>
      <w:proofErr w:type="spellStart"/>
      <w:r w:rsidRPr="0099157E">
        <w:rPr>
          <w:rFonts w:ascii="David" w:hAnsi="David" w:cs="David"/>
          <w:sz w:val="24"/>
          <w:szCs w:val="24"/>
          <w:rtl/>
        </w:rPr>
        <w:t>החסינויות</w:t>
      </w:r>
      <w:proofErr w:type="spellEnd"/>
      <w:r w:rsidRPr="0099157E">
        <w:rPr>
          <w:rFonts w:ascii="David" w:hAnsi="David" w:cs="David"/>
          <w:sz w:val="24"/>
          <w:szCs w:val="24"/>
          <w:rtl/>
        </w:rPr>
        <w:t xml:space="preserve"> המוחלטות (פרסומים מותרים) הקבועות </w:t>
      </w:r>
      <w:hyperlink r:id="rId12" w:history="1">
        <w:r w:rsidRPr="0099157E">
          <w:rPr>
            <w:rStyle w:val="Hyperlink"/>
            <w:rFonts w:ascii="David" w:hAnsi="David" w:cs="David"/>
            <w:color w:val="auto"/>
            <w:sz w:val="24"/>
            <w:szCs w:val="24"/>
            <w:u w:val="none"/>
            <w:rtl/>
          </w:rPr>
          <w:t>בסעיף 13</w:t>
        </w:r>
      </w:hyperlink>
      <w:r w:rsidRPr="0099157E">
        <w:rPr>
          <w:rFonts w:ascii="David" w:hAnsi="David" w:cs="David"/>
          <w:sz w:val="24"/>
          <w:szCs w:val="24"/>
          <w:rtl/>
        </w:rPr>
        <w:t xml:space="preserve"> לחוק. אם נכנס הפרסום לד' אמות אחת </w:t>
      </w:r>
      <w:proofErr w:type="spellStart"/>
      <w:r w:rsidRPr="0099157E">
        <w:rPr>
          <w:rFonts w:ascii="David" w:hAnsi="David" w:cs="David"/>
          <w:sz w:val="24"/>
          <w:szCs w:val="24"/>
          <w:rtl/>
        </w:rPr>
        <w:t>החסינויות</w:t>
      </w:r>
      <w:proofErr w:type="spellEnd"/>
      <w:r w:rsidRPr="0099157E">
        <w:rPr>
          <w:rFonts w:ascii="David" w:hAnsi="David" w:cs="David"/>
          <w:sz w:val="24"/>
          <w:szCs w:val="24"/>
          <w:rtl/>
        </w:rPr>
        <w:t xml:space="preserve"> - דין התביעה להידחות. אם לא כן, אנו עוברים ל</w:t>
      </w:r>
      <w:r w:rsidRPr="0099157E">
        <w:rPr>
          <w:rFonts w:ascii="David" w:hAnsi="David" w:cs="David"/>
          <w:sz w:val="24"/>
          <w:szCs w:val="24"/>
          <w:u w:val="single"/>
          <w:rtl/>
        </w:rPr>
        <w:t>שלב הבא</w:t>
      </w:r>
      <w:r w:rsidRPr="0099157E">
        <w:rPr>
          <w:rFonts w:ascii="David" w:hAnsi="David" w:cs="David"/>
          <w:sz w:val="24"/>
          <w:szCs w:val="24"/>
          <w:rtl/>
        </w:rPr>
        <w:t xml:space="preserve"> ובוחנים אם הפרסום מוגן על פי אמת המידה הקבועה </w:t>
      </w:r>
      <w:hyperlink r:id="rId13" w:history="1">
        <w:r w:rsidRPr="0099157E">
          <w:rPr>
            <w:rStyle w:val="Hyperlink"/>
            <w:rFonts w:ascii="David" w:hAnsi="David" w:cs="David"/>
            <w:color w:val="auto"/>
            <w:sz w:val="24"/>
            <w:szCs w:val="24"/>
            <w:u w:val="none"/>
            <w:rtl/>
          </w:rPr>
          <w:t>בסעיף 14</w:t>
        </w:r>
      </w:hyperlink>
      <w:r w:rsidRPr="0099157E">
        <w:rPr>
          <w:rFonts w:ascii="David" w:hAnsi="David" w:cs="David"/>
          <w:sz w:val="24"/>
          <w:szCs w:val="24"/>
          <w:rtl/>
        </w:rPr>
        <w:t xml:space="preserve"> לחוק על שתי רגליה - אמת בפרסום ועניין ציבורי. אם הפרסום אינו נהנה מהגנה זו, יש להמשיך ולבחון אם  הפרסום מוגן בתום ליבו של המפרסם, בגדר אחת מהחלופות הקבועות </w:t>
      </w:r>
      <w:hyperlink r:id="rId14" w:history="1">
        <w:r w:rsidRPr="0099157E">
          <w:rPr>
            <w:rStyle w:val="Hyperlink"/>
            <w:rFonts w:ascii="David" w:hAnsi="David" w:cs="David"/>
            <w:color w:val="auto"/>
            <w:sz w:val="24"/>
            <w:szCs w:val="24"/>
            <w:u w:val="none"/>
            <w:rtl/>
          </w:rPr>
          <w:t>בסעיף 15</w:t>
        </w:r>
      </w:hyperlink>
      <w:r w:rsidRPr="0099157E">
        <w:rPr>
          <w:rFonts w:ascii="David" w:hAnsi="David" w:cs="David"/>
          <w:sz w:val="24"/>
          <w:szCs w:val="24"/>
          <w:rtl/>
        </w:rPr>
        <w:t xml:space="preserve"> לחוק במשולב עם חזקות תום הלב </w:t>
      </w:r>
      <w:hyperlink r:id="rId15" w:history="1">
        <w:r w:rsidRPr="0099157E">
          <w:rPr>
            <w:rStyle w:val="Hyperlink"/>
            <w:rFonts w:ascii="David" w:hAnsi="David" w:cs="David"/>
            <w:color w:val="auto"/>
            <w:sz w:val="24"/>
            <w:szCs w:val="24"/>
            <w:u w:val="none"/>
            <w:rtl/>
          </w:rPr>
          <w:t>בסעיף 16</w:t>
        </w:r>
      </w:hyperlink>
      <w:r w:rsidRPr="0099157E">
        <w:rPr>
          <w:rFonts w:ascii="David" w:hAnsi="David" w:cs="David"/>
          <w:sz w:val="24"/>
          <w:szCs w:val="24"/>
          <w:rtl/>
        </w:rPr>
        <w:t xml:space="preserve">. היה </w:t>
      </w:r>
      <w:proofErr w:type="spellStart"/>
      <w:r w:rsidRPr="0099157E">
        <w:rPr>
          <w:rFonts w:ascii="David" w:hAnsi="David" w:cs="David"/>
          <w:sz w:val="24"/>
          <w:szCs w:val="24"/>
          <w:rtl/>
        </w:rPr>
        <w:t>ונתברר</w:t>
      </w:r>
      <w:proofErr w:type="spellEnd"/>
      <w:r w:rsidRPr="0099157E">
        <w:rPr>
          <w:rFonts w:ascii="David" w:hAnsi="David" w:cs="David"/>
          <w:sz w:val="24"/>
          <w:szCs w:val="24"/>
          <w:rtl/>
        </w:rPr>
        <w:t xml:space="preserve"> כי הפרסום אינו נהנה מהגנת </w:t>
      </w:r>
      <w:hyperlink r:id="rId16" w:history="1">
        <w:r w:rsidRPr="0099157E">
          <w:rPr>
            <w:rStyle w:val="Hyperlink"/>
            <w:rFonts w:ascii="David" w:hAnsi="David" w:cs="David"/>
            <w:color w:val="auto"/>
            <w:sz w:val="24"/>
            <w:szCs w:val="24"/>
            <w:u w:val="none"/>
            <w:rtl/>
          </w:rPr>
          <w:t>סעיף 14</w:t>
        </w:r>
      </w:hyperlink>
      <w:r w:rsidRPr="0099157E">
        <w:rPr>
          <w:rFonts w:ascii="David" w:hAnsi="David" w:cs="David"/>
          <w:sz w:val="24"/>
          <w:szCs w:val="24"/>
          <w:rtl/>
        </w:rPr>
        <w:t xml:space="preserve"> או מהגנת </w:t>
      </w:r>
      <w:hyperlink r:id="rId17" w:history="1">
        <w:r w:rsidRPr="0099157E">
          <w:rPr>
            <w:rStyle w:val="Hyperlink"/>
            <w:rFonts w:ascii="David" w:hAnsi="David" w:cs="David"/>
            <w:color w:val="auto"/>
            <w:sz w:val="24"/>
            <w:szCs w:val="24"/>
            <w:u w:val="none"/>
            <w:rtl/>
          </w:rPr>
          <w:t>סעיף 15</w:t>
        </w:r>
      </w:hyperlink>
      <w:r w:rsidRPr="0099157E">
        <w:rPr>
          <w:rFonts w:ascii="David" w:hAnsi="David" w:cs="David"/>
          <w:sz w:val="24"/>
          <w:szCs w:val="24"/>
          <w:rtl/>
        </w:rPr>
        <w:t>, או-אז עוברים ל</w:t>
      </w:r>
      <w:r w:rsidRPr="0099157E">
        <w:rPr>
          <w:rFonts w:ascii="David" w:hAnsi="David" w:cs="David"/>
          <w:sz w:val="24"/>
          <w:szCs w:val="24"/>
          <w:u w:val="single"/>
          <w:rtl/>
        </w:rPr>
        <w:t>שלב הרביע</w:t>
      </w:r>
      <w:r w:rsidRPr="0099157E">
        <w:rPr>
          <w:rFonts w:ascii="David" w:hAnsi="David" w:cs="David"/>
          <w:sz w:val="24"/>
          <w:szCs w:val="24"/>
          <w:rtl/>
        </w:rPr>
        <w:t xml:space="preserve">י של </w:t>
      </w:r>
      <w:proofErr w:type="spellStart"/>
      <w:r w:rsidRPr="0099157E">
        <w:rPr>
          <w:rFonts w:ascii="David" w:hAnsi="David" w:cs="David"/>
          <w:sz w:val="24"/>
          <w:szCs w:val="24"/>
          <w:rtl/>
        </w:rPr>
        <w:t>הסעדים</w:t>
      </w:r>
      <w:proofErr w:type="spellEnd"/>
      <w:r w:rsidRPr="0099157E">
        <w:rPr>
          <w:rFonts w:ascii="David" w:hAnsi="David" w:cs="David"/>
          <w:sz w:val="24"/>
          <w:szCs w:val="24"/>
          <w:rtl/>
        </w:rPr>
        <w:t xml:space="preserve"> (לתיאור שונה במקצת של השלבים ראו ב</w:t>
      </w:r>
      <w:hyperlink r:id="rId18" w:history="1">
        <w:r w:rsidRPr="0099157E">
          <w:rPr>
            <w:rStyle w:val="Hyperlink"/>
            <w:rFonts w:ascii="David" w:hAnsi="David" w:cs="David"/>
            <w:color w:val="auto"/>
            <w:sz w:val="24"/>
            <w:szCs w:val="24"/>
            <w:u w:val="none"/>
            <w:rtl/>
          </w:rPr>
          <w:t>ע"א 89/04</w:t>
        </w:r>
      </w:hyperlink>
      <w:r w:rsidRPr="0099157E">
        <w:rPr>
          <w:rFonts w:ascii="David" w:hAnsi="David" w:cs="David"/>
          <w:sz w:val="24"/>
          <w:szCs w:val="24"/>
          <w:rtl/>
        </w:rPr>
        <w:t xml:space="preserve"> </w:t>
      </w:r>
      <w:r w:rsidRPr="0099157E">
        <w:rPr>
          <w:rFonts w:ascii="David" w:hAnsi="David" w:cs="David"/>
          <w:spacing w:val="0"/>
          <w:sz w:val="24"/>
          <w:szCs w:val="24"/>
          <w:rtl/>
        </w:rPr>
        <w:t>נודלמן נ' שרנסקי</w:t>
      </w:r>
      <w:r w:rsidRPr="0099157E">
        <w:rPr>
          <w:rFonts w:ascii="David" w:hAnsi="David" w:cs="David"/>
          <w:sz w:val="24"/>
          <w:szCs w:val="24"/>
          <w:rtl/>
        </w:rPr>
        <w:t xml:space="preserve"> בפסקה 7 (</w:t>
      </w:r>
      <w:r w:rsidRPr="0099157E">
        <w:rPr>
          <w:rFonts w:ascii="David" w:hAnsi="David" w:cs="David"/>
          <w:spacing w:val="0"/>
          <w:sz w:val="24"/>
          <w:szCs w:val="24"/>
          <w:rtl/>
        </w:rPr>
        <w:t>[פורסם בנבו]</w:t>
      </w:r>
      <w:r w:rsidRPr="0099157E">
        <w:rPr>
          <w:rFonts w:ascii="David" w:hAnsi="David" w:cs="David"/>
          <w:sz w:val="24"/>
          <w:szCs w:val="24"/>
          <w:rtl/>
        </w:rPr>
        <w:t>, 4.8.2008))" (פסקה 6;</w:t>
      </w:r>
      <w:r w:rsidRPr="0099157E">
        <w:rPr>
          <w:rFonts w:ascii="David" w:hAnsi="David" w:cs="David"/>
          <w:sz w:val="24"/>
          <w:szCs w:val="24"/>
        </w:rPr>
        <w:t xml:space="preserve">  </w:t>
      </w:r>
      <w:r w:rsidRPr="0099157E">
        <w:rPr>
          <w:rFonts w:ascii="David" w:hAnsi="David" w:cs="David"/>
          <w:sz w:val="24"/>
          <w:szCs w:val="24"/>
          <w:rtl/>
        </w:rPr>
        <w:t xml:space="preserve">ההדגשות הוספו).   </w:t>
      </w:r>
    </w:p>
    <w:p w:rsidR="00FE17CC" w:rsidRPr="0099157E" w:rsidRDefault="00FE17CC" w:rsidP="00FE17CC">
      <w:pPr>
        <w:pStyle w:val="Ruller40"/>
        <w:ind w:left="1643" w:right="709"/>
        <w:rPr>
          <w:rFonts w:ascii="David" w:hAnsi="David" w:cs="David"/>
          <w:sz w:val="24"/>
          <w:szCs w:val="24"/>
          <w:rtl/>
        </w:rPr>
      </w:pPr>
    </w:p>
    <w:p w:rsidR="00FE17CC" w:rsidRPr="0099157E" w:rsidRDefault="00FE17CC" w:rsidP="00FE17CC">
      <w:pPr>
        <w:pStyle w:val="af"/>
        <w:numPr>
          <w:ilvl w:val="0"/>
          <w:numId w:val="1"/>
        </w:numPr>
        <w:spacing w:line="360" w:lineRule="auto"/>
        <w:jc w:val="both"/>
        <w:rPr>
          <w:rtl/>
        </w:rPr>
      </w:pPr>
      <w:r w:rsidRPr="0099157E">
        <w:rPr>
          <w:rFonts w:hint="cs"/>
          <w:rtl/>
        </w:rPr>
        <w:t xml:space="preserve">בענייננו, אין מחלוקת לגבי השלב הראשון, דהיינו כי מדובר בפרסום שנופל לגדר החוק, והמחלוקות הנוגעות לשלב השני והשלישי. </w:t>
      </w:r>
    </w:p>
    <w:p w:rsidR="00FE17CC" w:rsidRPr="0099157E" w:rsidRDefault="00FE17CC" w:rsidP="00FE17CC">
      <w:pPr>
        <w:pStyle w:val="af"/>
        <w:spacing w:line="360" w:lineRule="auto"/>
        <w:jc w:val="both"/>
      </w:pPr>
    </w:p>
    <w:p w:rsidR="00FE17CC" w:rsidRPr="0099157E" w:rsidRDefault="00FE17CC" w:rsidP="00FE17CC">
      <w:pPr>
        <w:pStyle w:val="af"/>
        <w:numPr>
          <w:ilvl w:val="0"/>
          <w:numId w:val="1"/>
        </w:numPr>
        <w:spacing w:line="360" w:lineRule="auto"/>
        <w:jc w:val="both"/>
      </w:pPr>
      <w:r w:rsidRPr="0099157E">
        <w:rPr>
          <w:rFonts w:hint="cs"/>
          <w:rtl/>
        </w:rPr>
        <w:t xml:space="preserve">עם זאת, ולעניין </w:t>
      </w:r>
      <w:r w:rsidRPr="0099157E">
        <w:rPr>
          <w:rFonts w:hint="cs"/>
          <w:u w:val="single"/>
          <w:rtl/>
        </w:rPr>
        <w:t>השלב הראשון</w:t>
      </w:r>
      <w:r w:rsidRPr="0099157E">
        <w:rPr>
          <w:rFonts w:hint="cs"/>
          <w:rtl/>
        </w:rPr>
        <w:t xml:space="preserve">, דומה כי לא יכול להיות חולק על כך שלו התובע היה פותח </w:t>
      </w:r>
      <w:r w:rsidR="009B713C" w:rsidRPr="0099157E">
        <w:rPr>
          <w:rFonts w:hint="cs"/>
          <w:rtl/>
        </w:rPr>
        <w:t>לבדו ו</w:t>
      </w:r>
      <w:r w:rsidRPr="0099157E">
        <w:rPr>
          <w:rFonts w:hint="cs"/>
          <w:rtl/>
        </w:rPr>
        <w:t xml:space="preserve">בעצמו את דבר הדואר כדי לעדכן את </w:t>
      </w:r>
      <w:r w:rsidR="00000099">
        <w:rPr>
          <w:rFonts w:hint="cs"/>
          <w:rtl/>
        </w:rPr>
        <w:t>הגרוש</w:t>
      </w:r>
      <w:r w:rsidRPr="0099157E">
        <w:rPr>
          <w:rFonts w:hint="cs"/>
          <w:rtl/>
        </w:rPr>
        <w:t xml:space="preserve"> במה המדובר, כפי שהתבקש על ידי </w:t>
      </w:r>
      <w:r w:rsidR="00000099">
        <w:rPr>
          <w:rFonts w:hint="cs"/>
          <w:rtl/>
        </w:rPr>
        <w:t>הגרוש</w:t>
      </w:r>
      <w:r w:rsidRPr="0099157E">
        <w:rPr>
          <w:rFonts w:hint="cs"/>
          <w:rtl/>
        </w:rPr>
        <w:t xml:space="preserve">, בלי לחשוף את רעייתו לדברים, הרי שהפרסום דנן כלל לא היה עונה להגדרת פרסום לשון </w:t>
      </w:r>
      <w:r w:rsidRPr="0099157E">
        <w:rPr>
          <w:rtl/>
        </w:rPr>
        <w:t xml:space="preserve">הרע לפי החוק; זאת, לנוכח הוראת </w:t>
      </w:r>
      <w:r w:rsidRPr="0099157E">
        <w:rPr>
          <w:rStyle w:val="default"/>
          <w:rFonts w:ascii="David" w:hAnsi="David" w:cs="David"/>
          <w:rtl/>
        </w:rPr>
        <w:t xml:space="preserve">סעיף 33(ב)(2) לחוק, המגדיר "פרסום" לשון הרע "אם </w:t>
      </w:r>
      <w:proofErr w:type="spellStart"/>
      <w:r w:rsidRPr="0099157E">
        <w:rPr>
          <w:rStyle w:val="default"/>
          <w:rFonts w:ascii="David" w:hAnsi="David" w:cs="David"/>
          <w:rtl/>
        </w:rPr>
        <w:t>היתה</w:t>
      </w:r>
      <w:proofErr w:type="spellEnd"/>
      <w:r w:rsidRPr="0099157E">
        <w:rPr>
          <w:rStyle w:val="default"/>
          <w:rFonts w:ascii="David" w:hAnsi="David" w:cs="David"/>
          <w:rtl/>
        </w:rPr>
        <w:t xml:space="preserve"> בכתב והכתב עשוי היה, לפי הנסיבות להגיע לאדם זולת הנפגע".</w:t>
      </w:r>
      <w:r w:rsidRPr="0099157E">
        <w:rPr>
          <w:rtl/>
        </w:rPr>
        <w:t xml:space="preserve"> במקרה דנן, הנפגע הוא התובע כמובן. </w:t>
      </w:r>
    </w:p>
    <w:p w:rsidR="00FE17CC" w:rsidRPr="0099157E" w:rsidRDefault="00FE17CC" w:rsidP="00FE17CC">
      <w:pPr>
        <w:pStyle w:val="af"/>
        <w:spacing w:line="360" w:lineRule="auto"/>
        <w:jc w:val="both"/>
      </w:pPr>
    </w:p>
    <w:p w:rsidR="00FE17CC" w:rsidRPr="0099157E" w:rsidRDefault="00FE17CC" w:rsidP="00FE17CC">
      <w:pPr>
        <w:pStyle w:val="af"/>
        <w:numPr>
          <w:ilvl w:val="0"/>
          <w:numId w:val="1"/>
        </w:numPr>
        <w:spacing w:line="360" w:lineRule="auto"/>
        <w:jc w:val="both"/>
      </w:pPr>
      <w:r w:rsidRPr="0099157E">
        <w:rPr>
          <w:rFonts w:hint="cs"/>
          <w:rtl/>
        </w:rPr>
        <w:t xml:space="preserve">המחלוקת המרכזית בענייננו נוגעת </w:t>
      </w:r>
      <w:r w:rsidRPr="0099157E">
        <w:rPr>
          <w:rFonts w:hint="cs"/>
          <w:u w:val="single"/>
          <w:rtl/>
        </w:rPr>
        <w:t>לשלב השני</w:t>
      </w:r>
      <w:r w:rsidRPr="0099157E">
        <w:rPr>
          <w:rFonts w:hint="cs"/>
          <w:rtl/>
        </w:rPr>
        <w:t xml:space="preserve"> של הבדיקה, קרי, האם קמה לנתבעת החסינות המוחלטת שבסעיף 13(5) לחוק. </w:t>
      </w:r>
    </w:p>
    <w:p w:rsidR="00FE17CC" w:rsidRPr="0099157E" w:rsidRDefault="00FE17CC" w:rsidP="00FE17CC">
      <w:pPr>
        <w:pStyle w:val="af"/>
        <w:jc w:val="both"/>
      </w:pPr>
    </w:p>
    <w:p w:rsidR="00FE17CC" w:rsidRPr="0099157E" w:rsidRDefault="00FE17CC" w:rsidP="009B713C">
      <w:pPr>
        <w:pStyle w:val="af"/>
        <w:numPr>
          <w:ilvl w:val="0"/>
          <w:numId w:val="1"/>
        </w:numPr>
        <w:spacing w:line="360" w:lineRule="auto"/>
        <w:jc w:val="both"/>
        <w:rPr>
          <w:rtl/>
        </w:rPr>
      </w:pPr>
      <w:r w:rsidRPr="0099157E">
        <w:rPr>
          <w:rFonts w:hint="cs"/>
          <w:rtl/>
        </w:rPr>
        <w:t>ככל והמסקנה תהיה כי חסינות זו לא עומדת לנתבעת בנסיבות המקרה, הרי ש</w:t>
      </w:r>
      <w:r w:rsidR="009B713C" w:rsidRPr="0099157E">
        <w:rPr>
          <w:rFonts w:hint="cs"/>
          <w:rtl/>
        </w:rPr>
        <w:t xml:space="preserve">יהיה צורך </w:t>
      </w:r>
      <w:r w:rsidRPr="0099157E">
        <w:rPr>
          <w:rFonts w:hint="cs"/>
          <w:rtl/>
        </w:rPr>
        <w:t xml:space="preserve">לקיים דיון </w:t>
      </w:r>
      <w:r w:rsidRPr="0099157E">
        <w:rPr>
          <w:rFonts w:hint="cs"/>
          <w:u w:val="single"/>
          <w:rtl/>
        </w:rPr>
        <w:t>בשלב השלישי</w:t>
      </w:r>
      <w:r w:rsidRPr="0099157E">
        <w:rPr>
          <w:rFonts w:hint="cs"/>
          <w:rtl/>
        </w:rPr>
        <w:t xml:space="preserve">, דהיינו, יש לבחון האם עומדת לנתבעת הגנת אמת בפרסום לפי סע' 14 לחוק או הגנת תום הלב לפי סעיף 15(1) לחוק. </w:t>
      </w:r>
    </w:p>
    <w:p w:rsidR="00FE17CC" w:rsidRPr="0099157E" w:rsidRDefault="00FE17CC" w:rsidP="00FE17CC">
      <w:pPr>
        <w:pStyle w:val="af"/>
        <w:jc w:val="both"/>
      </w:pPr>
    </w:p>
    <w:p w:rsidR="00FE17CC" w:rsidRPr="0099157E" w:rsidRDefault="00FE17CC" w:rsidP="00FE17CC">
      <w:pPr>
        <w:pStyle w:val="af"/>
        <w:numPr>
          <w:ilvl w:val="0"/>
          <w:numId w:val="1"/>
        </w:numPr>
        <w:spacing w:line="360" w:lineRule="auto"/>
        <w:jc w:val="both"/>
        <w:rPr>
          <w:rtl/>
        </w:rPr>
      </w:pPr>
      <w:r w:rsidRPr="0099157E">
        <w:rPr>
          <w:rFonts w:hint="cs"/>
          <w:rtl/>
        </w:rPr>
        <w:lastRenderedPageBreak/>
        <w:t>ככל והתשובה תהיה שלילית גם ביחס לשאלה זו, כי אז יהיה צורך לעבור ל</w:t>
      </w:r>
      <w:r w:rsidRPr="0099157E">
        <w:rPr>
          <w:rFonts w:hint="cs"/>
          <w:u w:val="single"/>
          <w:rtl/>
        </w:rPr>
        <w:t>שלב הרביעי</w:t>
      </w:r>
      <w:r w:rsidRPr="0099157E">
        <w:rPr>
          <w:rFonts w:hint="cs"/>
          <w:rtl/>
        </w:rPr>
        <w:t xml:space="preserve"> של דיון בסעד המבוקש.</w:t>
      </w:r>
    </w:p>
    <w:p w:rsidR="00FE17CC" w:rsidRPr="0099157E" w:rsidRDefault="00FE17CC" w:rsidP="00FE17CC">
      <w:pPr>
        <w:pStyle w:val="af"/>
        <w:spacing w:line="360" w:lineRule="auto"/>
        <w:ind w:left="1080"/>
        <w:jc w:val="both"/>
        <w:rPr>
          <w:b/>
          <w:bCs/>
          <w:u w:val="single"/>
        </w:rPr>
      </w:pPr>
    </w:p>
    <w:p w:rsidR="00FE17CC" w:rsidRPr="0099157E" w:rsidRDefault="00FE17CC" w:rsidP="00FE17CC">
      <w:pPr>
        <w:pStyle w:val="af"/>
        <w:spacing w:line="360" w:lineRule="auto"/>
        <w:ind w:left="368"/>
        <w:jc w:val="both"/>
        <w:rPr>
          <w:b/>
          <w:bCs/>
          <w:sz w:val="28"/>
          <w:szCs w:val="28"/>
          <w:u w:val="single"/>
          <w:rtl/>
        </w:rPr>
      </w:pPr>
    </w:p>
    <w:p w:rsidR="00FE17CC" w:rsidRPr="0099157E" w:rsidRDefault="00FE17CC" w:rsidP="00FE17CC">
      <w:pPr>
        <w:pStyle w:val="af"/>
        <w:spacing w:line="360" w:lineRule="auto"/>
        <w:ind w:left="368"/>
        <w:jc w:val="both"/>
        <w:rPr>
          <w:b/>
          <w:bCs/>
          <w:sz w:val="28"/>
          <w:szCs w:val="28"/>
          <w:u w:val="single"/>
          <w:rtl/>
        </w:rPr>
      </w:pPr>
      <w:r w:rsidRPr="0099157E">
        <w:rPr>
          <w:rFonts w:hint="cs"/>
          <w:b/>
          <w:bCs/>
          <w:sz w:val="28"/>
          <w:szCs w:val="28"/>
          <w:u w:val="single"/>
          <w:rtl/>
        </w:rPr>
        <w:t xml:space="preserve">שאלת קיום חסינות מוחלטת לנתבע מכוח סעיף 13(5) לחוק </w:t>
      </w:r>
    </w:p>
    <w:p w:rsidR="00FE17CC" w:rsidRPr="0099157E" w:rsidRDefault="00FE17CC" w:rsidP="00FE17CC">
      <w:pPr>
        <w:pStyle w:val="af"/>
        <w:spacing w:line="360" w:lineRule="auto"/>
        <w:jc w:val="both"/>
      </w:pPr>
    </w:p>
    <w:p w:rsidR="00FE17CC" w:rsidRPr="0099157E" w:rsidRDefault="00FE17CC" w:rsidP="00FE17CC">
      <w:pPr>
        <w:pStyle w:val="af"/>
        <w:numPr>
          <w:ilvl w:val="0"/>
          <w:numId w:val="1"/>
        </w:numPr>
        <w:spacing w:line="360" w:lineRule="auto"/>
        <w:jc w:val="both"/>
        <w:rPr>
          <w:rtl/>
        </w:rPr>
      </w:pPr>
      <w:r w:rsidRPr="0099157E">
        <w:rPr>
          <w:rtl/>
        </w:rPr>
        <w:t xml:space="preserve"> נבחן כעת האם עומדת לנתבע חסינות מוחלטת מכוח </w:t>
      </w:r>
      <w:hyperlink r:id="rId19" w:history="1">
        <w:r w:rsidRPr="0099157E">
          <w:rPr>
            <w:rStyle w:val="Hyperlink"/>
            <w:rFonts w:ascii="David" w:hAnsi="David" w:cs="David"/>
            <w:color w:val="auto"/>
            <w:u w:val="none"/>
            <w:rtl/>
          </w:rPr>
          <w:t>סע' 13 (5)</w:t>
        </w:r>
      </w:hyperlink>
      <w:r w:rsidRPr="0099157E">
        <w:rPr>
          <w:rtl/>
        </w:rPr>
        <w:t xml:space="preserve">  לחוק. </w:t>
      </w:r>
    </w:p>
    <w:p w:rsidR="00FE17CC" w:rsidRPr="0099157E" w:rsidRDefault="00FE17CC" w:rsidP="00FE17CC">
      <w:pPr>
        <w:pStyle w:val="af"/>
        <w:spacing w:line="360" w:lineRule="auto"/>
        <w:jc w:val="both"/>
      </w:pPr>
    </w:p>
    <w:p w:rsidR="00FE17CC" w:rsidRPr="0099157E" w:rsidRDefault="00FE17CC" w:rsidP="00FE17CC">
      <w:pPr>
        <w:pStyle w:val="af"/>
        <w:numPr>
          <w:ilvl w:val="0"/>
          <w:numId w:val="1"/>
        </w:numPr>
        <w:spacing w:line="360" w:lineRule="auto"/>
        <w:jc w:val="both"/>
      </w:pPr>
      <w:r w:rsidRPr="0099157E">
        <w:rPr>
          <w:rFonts w:hint="cs"/>
          <w:rtl/>
        </w:rPr>
        <w:t xml:space="preserve">סעיף 13 לחוק, שכותרתו "פרסומים מותרים", קובע כי: </w:t>
      </w:r>
      <w:r w:rsidRPr="0099157E">
        <w:rPr>
          <w:rFonts w:hint="cs"/>
          <w:color w:val="000000"/>
          <w:shd w:val="clear" w:color="auto" w:fill="FFFFFF"/>
          <w:rtl/>
        </w:rPr>
        <w:t>לא ישמש עילה למשפט פלילי או אזרחי</w:t>
      </w:r>
      <w:r w:rsidRPr="0099157E">
        <w:rPr>
          <w:rFonts w:ascii="Arial" w:hAnsi="Arial" w:cs="Arial"/>
          <w:color w:val="000000"/>
          <w:sz w:val="21"/>
          <w:szCs w:val="21"/>
          <w:shd w:val="clear" w:color="auto" w:fill="FFFFFF"/>
        </w:rPr>
        <w:t xml:space="preserve"> " – </w:t>
      </w:r>
      <w:r w:rsidRPr="0099157E">
        <w:rPr>
          <w:rFonts w:hint="cs"/>
          <w:rtl/>
        </w:rPr>
        <w:t xml:space="preserve">ומונה 13 פרסומים של רשויות ממשל שונות - הרשות המחוקקת, הרשות המבצעת, הרשות השופטת והרשות המבקרת - ולפרסומים החוזרים על פרסומים קודמים, אשר בחזרה עליהם יש עניין ציבורי מיוחד </w:t>
      </w:r>
      <w:r w:rsidRPr="0099157E">
        <w:rPr>
          <w:rFonts w:hint="cs"/>
          <w:b/>
          <w:bCs/>
          <w:rtl/>
        </w:rPr>
        <w:t>(א' שנהר</w:t>
      </w:r>
      <w:r w:rsidRPr="0099157E">
        <w:rPr>
          <w:rFonts w:hint="cs"/>
          <w:rtl/>
        </w:rPr>
        <w:t xml:space="preserve">, דיני לשון הרע דיני לשון הרע (נבו הוצאה לאור 1997) (להלן: </w:t>
      </w:r>
      <w:r w:rsidRPr="0099157E">
        <w:rPr>
          <w:rFonts w:hint="cs"/>
          <w:b/>
          <w:bCs/>
          <w:rtl/>
        </w:rPr>
        <w:t>שנהר</w:t>
      </w:r>
      <w:r w:rsidRPr="0099157E">
        <w:rPr>
          <w:rFonts w:hint="cs"/>
          <w:rtl/>
        </w:rPr>
        <w:t>, בעמ' 187).</w:t>
      </w:r>
    </w:p>
    <w:p w:rsidR="00FE17CC" w:rsidRPr="0099157E" w:rsidRDefault="00FE17CC" w:rsidP="00FE17CC">
      <w:pPr>
        <w:pStyle w:val="af"/>
        <w:jc w:val="both"/>
      </w:pPr>
    </w:p>
    <w:p w:rsidR="00FE17CC" w:rsidRPr="0099157E" w:rsidRDefault="00FE17CC" w:rsidP="00FE17CC">
      <w:pPr>
        <w:pStyle w:val="af"/>
        <w:spacing w:before="240" w:after="240" w:line="360" w:lineRule="auto"/>
        <w:jc w:val="both"/>
        <w:rPr>
          <w:rtl/>
        </w:rPr>
      </w:pPr>
    </w:p>
    <w:p w:rsidR="00FE17CC" w:rsidRPr="0099157E" w:rsidRDefault="00FE17CC" w:rsidP="00FE17CC">
      <w:pPr>
        <w:pStyle w:val="af"/>
        <w:numPr>
          <w:ilvl w:val="0"/>
          <w:numId w:val="1"/>
        </w:numPr>
        <w:spacing w:before="240" w:after="240" w:line="360" w:lineRule="auto"/>
        <w:jc w:val="both"/>
        <w:rPr>
          <w:rtl/>
        </w:rPr>
      </w:pPr>
      <w:r w:rsidRPr="0099157E">
        <w:rPr>
          <w:rFonts w:hint="cs"/>
          <w:rtl/>
        </w:rPr>
        <w:t>הוראת סעיף 13(5) לחוק קובעת כי לא ישמש עילה למשפט פלילי או אזרחי -:</w:t>
      </w:r>
    </w:p>
    <w:p w:rsidR="00FE17CC" w:rsidRPr="0099157E" w:rsidRDefault="00FE17CC" w:rsidP="00FE17CC">
      <w:pPr>
        <w:pStyle w:val="af"/>
        <w:spacing w:before="240" w:after="240" w:line="360" w:lineRule="auto"/>
        <w:jc w:val="both"/>
      </w:pPr>
    </w:p>
    <w:p w:rsidR="00FE17CC" w:rsidRPr="0099157E" w:rsidRDefault="00FE17CC" w:rsidP="00FE17CC">
      <w:pPr>
        <w:pStyle w:val="af"/>
        <w:spacing w:before="240" w:after="240" w:line="360" w:lineRule="auto"/>
        <w:ind w:left="935" w:right="567"/>
        <w:jc w:val="both"/>
      </w:pPr>
      <w:r w:rsidRPr="0099157E">
        <w:rPr>
          <w:rFonts w:hint="cs"/>
          <w:rtl/>
        </w:rPr>
        <w:t>"(5) פרסום על ידי שופט, חבר של בית דין דתי, בורר, או אדם אחר בעל סמכות שיפוטית או מעין-שיפוטית על פי דין, שנעשה תוך כדי דיון בפניהם או בהחלטתם, או פרסום על ידי בעל דין, בא כוחו של בעל דין או עד, שנעשה תוך כדי דיון כאמור".</w:t>
      </w:r>
    </w:p>
    <w:p w:rsidR="00FE17CC" w:rsidRPr="0099157E" w:rsidRDefault="00FE17CC" w:rsidP="00FE17CC">
      <w:pPr>
        <w:spacing w:line="360" w:lineRule="auto"/>
        <w:jc w:val="both"/>
        <w:rPr>
          <w:u w:val="single"/>
        </w:rPr>
      </w:pPr>
      <w:r w:rsidRPr="0099157E">
        <w:rPr>
          <w:rFonts w:hint="cs"/>
          <w:u w:val="single"/>
          <w:rtl/>
        </w:rPr>
        <w:t>אופי החסינויות הכלולות בסעיף 13 לחוק – מוחלטות ומקימות מחסום מהותי מפני קביעת אחריות</w:t>
      </w:r>
    </w:p>
    <w:p w:rsidR="00FE17CC" w:rsidRPr="0099157E" w:rsidRDefault="00FE17CC" w:rsidP="00FE17CC">
      <w:pPr>
        <w:pStyle w:val="af"/>
        <w:spacing w:line="360" w:lineRule="auto"/>
        <w:jc w:val="both"/>
      </w:pPr>
    </w:p>
    <w:p w:rsidR="00FE17CC" w:rsidRPr="0099157E" w:rsidRDefault="00FE17CC" w:rsidP="00FE17CC">
      <w:pPr>
        <w:pStyle w:val="af"/>
        <w:numPr>
          <w:ilvl w:val="0"/>
          <w:numId w:val="1"/>
        </w:numPr>
        <w:spacing w:line="360" w:lineRule="auto"/>
        <w:jc w:val="both"/>
      </w:pPr>
      <w:r w:rsidRPr="0099157E">
        <w:rPr>
          <w:rFonts w:hint="cs"/>
          <w:rtl/>
        </w:rPr>
        <w:t>סעיף 13 לחוק, על סעיפיו הקטנים השונים, מגדיר כאמור "פרסומים מותרים", אשר פרסומם לא ישמש עילה למשפט פלילי או אזרחי. עסקינן ב</w:t>
      </w:r>
      <w:r w:rsidRPr="0099157E">
        <w:rPr>
          <w:rFonts w:hint="cs"/>
          <w:b/>
          <w:bCs/>
          <w:rtl/>
        </w:rPr>
        <w:t>סייג לאחריות</w:t>
      </w:r>
      <w:r w:rsidRPr="0099157E">
        <w:rPr>
          <w:rFonts w:hint="cs"/>
          <w:rtl/>
        </w:rPr>
        <w:t xml:space="preserve">, דהיינו, </w:t>
      </w:r>
      <w:r w:rsidRPr="0099157E">
        <w:rPr>
          <w:rFonts w:hint="cs"/>
          <w:b/>
          <w:bCs/>
          <w:rtl/>
        </w:rPr>
        <w:t>בהתקיים תנאי החסינות - כלל אין עוולה</w:t>
      </w:r>
      <w:r w:rsidRPr="0099157E">
        <w:rPr>
          <w:rFonts w:hint="cs"/>
          <w:rtl/>
        </w:rPr>
        <w:t xml:space="preserve">. משמעות הדבר היא כי מדובר במחסום מהותי לאחריות ולא במחסום דיוני שנועד למנוע הגשת תביעה. המונח "לא ישמש עילה..." </w:t>
      </w:r>
      <w:proofErr w:type="spellStart"/>
      <w:r w:rsidRPr="0099157E">
        <w:rPr>
          <w:rFonts w:hint="cs"/>
          <w:rtl/>
        </w:rPr>
        <w:t>ברישת</w:t>
      </w:r>
      <w:proofErr w:type="spellEnd"/>
      <w:r w:rsidRPr="0099157E">
        <w:rPr>
          <w:rFonts w:hint="cs"/>
          <w:rtl/>
        </w:rPr>
        <w:t xml:space="preserve"> הסעיף דומה למונח "אין המדינה אחראית </w:t>
      </w:r>
      <w:proofErr w:type="spellStart"/>
      <w:r w:rsidRPr="0099157E">
        <w:rPr>
          <w:rFonts w:hint="cs"/>
          <w:rtl/>
        </w:rPr>
        <w:t>בנזיקין</w:t>
      </w:r>
      <w:proofErr w:type="spellEnd"/>
      <w:r w:rsidRPr="0099157E">
        <w:rPr>
          <w:rFonts w:hint="cs"/>
          <w:rtl/>
        </w:rPr>
        <w:t xml:space="preserve">" </w:t>
      </w:r>
      <w:proofErr w:type="spellStart"/>
      <w:r w:rsidRPr="0099157E">
        <w:rPr>
          <w:rFonts w:hint="cs"/>
          <w:rtl/>
        </w:rPr>
        <w:t>בסע</w:t>
      </w:r>
      <w:proofErr w:type="spellEnd"/>
      <w:r w:rsidRPr="0099157E">
        <w:rPr>
          <w:rFonts w:hint="cs"/>
          <w:rtl/>
        </w:rPr>
        <w:t xml:space="preserve">' 5  לחוק </w:t>
      </w:r>
      <w:proofErr w:type="spellStart"/>
      <w:r w:rsidRPr="0099157E">
        <w:rPr>
          <w:rFonts w:hint="cs"/>
          <w:rtl/>
        </w:rPr>
        <w:t>הנזיקים</w:t>
      </w:r>
      <w:proofErr w:type="spellEnd"/>
      <w:r w:rsidRPr="0099157E">
        <w:rPr>
          <w:rFonts w:hint="cs"/>
          <w:rtl/>
        </w:rPr>
        <w:t xml:space="preserve"> האזרחיים (אחריות המדינה), התשי"ב-1952, ביחס ל"פעולה מלחמתית", אשר פורש בפסיקה כ</w:t>
      </w:r>
      <w:r w:rsidR="0099157E">
        <w:rPr>
          <w:rFonts w:hint="cs"/>
          <w:rtl/>
        </w:rPr>
        <w:t xml:space="preserve">מקים </w:t>
      </w:r>
      <w:r w:rsidRPr="0099157E">
        <w:rPr>
          <w:rFonts w:hint="cs"/>
          <w:rtl/>
        </w:rPr>
        <w:t>מחסום מהותי</w:t>
      </w:r>
      <w:r w:rsidR="0099157E">
        <w:rPr>
          <w:rFonts w:hint="cs"/>
          <w:rtl/>
        </w:rPr>
        <w:t xml:space="preserve"> מפני קביעת אחריות</w:t>
      </w:r>
      <w:r w:rsidRPr="0099157E">
        <w:rPr>
          <w:rFonts w:hint="cs"/>
          <w:rtl/>
        </w:rPr>
        <w:t xml:space="preserve">, וכן למונח "אין לו עילה" בסעיף 8 לחוק פיצויים לנפגעי תאונות דרכים, התשל"ה-1975, אשר קובע כי מי שיש עילה לפי חוק הפיצויים הנזכר, לא תהיה לו עילה לפי פקודת </w:t>
      </w:r>
      <w:proofErr w:type="spellStart"/>
      <w:r w:rsidRPr="0099157E">
        <w:rPr>
          <w:rFonts w:hint="cs"/>
          <w:rtl/>
        </w:rPr>
        <w:t>הנזיקין</w:t>
      </w:r>
      <w:proofErr w:type="spellEnd"/>
      <w:r w:rsidRPr="0099157E">
        <w:rPr>
          <w:rFonts w:hint="cs"/>
          <w:rtl/>
        </w:rPr>
        <w:t>, ואשר פורש אף הוא כקובע מחסום מהותי</w:t>
      </w:r>
      <w:r w:rsidR="0099157E">
        <w:rPr>
          <w:rFonts w:hint="cs"/>
          <w:rtl/>
        </w:rPr>
        <w:t xml:space="preserve"> כאמור</w:t>
      </w:r>
      <w:r w:rsidRPr="0099157E">
        <w:rPr>
          <w:rFonts w:hint="cs"/>
          <w:rtl/>
        </w:rPr>
        <w:t xml:space="preserve">. לו סבר המחוקק שיש לקבוע מחסום דיוני בלבד, היה נוקט לשון "לא תוגש תובענה", בדומה למונח שננקט בסעיף 7א לפקודת </w:t>
      </w:r>
      <w:proofErr w:type="spellStart"/>
      <w:r w:rsidRPr="0099157E">
        <w:rPr>
          <w:rFonts w:hint="cs"/>
          <w:rtl/>
        </w:rPr>
        <w:t>הנזיקין</w:t>
      </w:r>
      <w:proofErr w:type="spellEnd"/>
      <w:r w:rsidRPr="0099157E">
        <w:rPr>
          <w:rFonts w:hint="cs"/>
          <w:rtl/>
        </w:rPr>
        <w:t xml:space="preserve"> [נוסח חדש], בעניין חסינות עובד הציבור </w:t>
      </w:r>
      <w:proofErr w:type="spellStart"/>
      <w:r w:rsidRPr="0099157E">
        <w:rPr>
          <w:rFonts w:hint="cs"/>
          <w:rtl/>
        </w:rPr>
        <w:t>בנזיקין</w:t>
      </w:r>
      <w:proofErr w:type="spellEnd"/>
      <w:r w:rsidRPr="0099157E">
        <w:rPr>
          <w:rFonts w:hint="cs"/>
          <w:rtl/>
        </w:rPr>
        <w:t xml:space="preserve">, אשר מהווה מחסום </w:t>
      </w:r>
      <w:r w:rsidRPr="0099157E">
        <w:rPr>
          <w:rFonts w:hint="cs"/>
          <w:rtl/>
        </w:rPr>
        <w:lastRenderedPageBreak/>
        <w:t xml:space="preserve">דיוני, אך אין בו כדי לאיין את העוולה (לעניין החסינות הדיונית של עובדי ציבור </w:t>
      </w:r>
      <w:proofErr w:type="spellStart"/>
      <w:r w:rsidRPr="0099157E">
        <w:rPr>
          <w:rFonts w:hint="cs"/>
          <w:rtl/>
        </w:rPr>
        <w:t>בנזיקין</w:t>
      </w:r>
      <w:proofErr w:type="spellEnd"/>
      <w:r w:rsidRPr="0099157E">
        <w:rPr>
          <w:rFonts w:hint="cs"/>
          <w:rtl/>
        </w:rPr>
        <w:t xml:space="preserve"> - ראו: רע"א 775/11 </w:t>
      </w:r>
      <w:proofErr w:type="spellStart"/>
      <w:r w:rsidRPr="0099157E">
        <w:rPr>
          <w:rFonts w:hint="cs"/>
          <w:b/>
          <w:bCs/>
          <w:rtl/>
        </w:rPr>
        <w:t>פלקסר</w:t>
      </w:r>
      <w:proofErr w:type="spellEnd"/>
      <w:r w:rsidRPr="0099157E">
        <w:rPr>
          <w:rFonts w:hint="cs"/>
          <w:b/>
          <w:bCs/>
          <w:rtl/>
        </w:rPr>
        <w:t xml:space="preserve"> נגד מדינת ישראל</w:t>
      </w:r>
      <w:r w:rsidRPr="0099157E">
        <w:rPr>
          <w:rFonts w:hint="cs"/>
          <w:rtl/>
        </w:rPr>
        <w:t>, נבו ניתן ביום 11.8.14).</w:t>
      </w:r>
    </w:p>
    <w:p w:rsidR="00FE17CC" w:rsidRPr="0099157E" w:rsidRDefault="00FE17CC" w:rsidP="00FE17CC">
      <w:pPr>
        <w:pStyle w:val="af"/>
        <w:spacing w:line="360" w:lineRule="auto"/>
        <w:jc w:val="both"/>
      </w:pPr>
    </w:p>
    <w:p w:rsidR="00FE17CC" w:rsidRPr="0099157E" w:rsidRDefault="00FE17CC" w:rsidP="00FE17CC">
      <w:pPr>
        <w:pStyle w:val="af"/>
        <w:numPr>
          <w:ilvl w:val="0"/>
          <w:numId w:val="1"/>
        </w:numPr>
        <w:spacing w:line="360" w:lineRule="auto"/>
        <w:jc w:val="both"/>
      </w:pPr>
      <w:r w:rsidRPr="0099157E">
        <w:rPr>
          <w:rFonts w:hint="cs"/>
          <w:rtl/>
        </w:rPr>
        <w:t xml:space="preserve">סעיף 13 לחוק הוא סעיף עצמאי, שעומד על רגליו, ואשר אינו תלוי בהתקיימות תנאי </w:t>
      </w:r>
      <w:proofErr w:type="spellStart"/>
      <w:r w:rsidRPr="0099157E">
        <w:rPr>
          <w:rFonts w:hint="cs"/>
          <w:rtl/>
        </w:rPr>
        <w:t>ההגנות</w:t>
      </w:r>
      <w:proofErr w:type="spellEnd"/>
      <w:r w:rsidRPr="0099157E">
        <w:rPr>
          <w:rFonts w:hint="cs"/>
          <w:rtl/>
        </w:rPr>
        <w:t xml:space="preserve"> האחרות בחוק איסור לשון הרע, כגון "אמת דיברתי" לפי סעיף 14 לחוק או "תום לב" לפי סעיף 15 לחוק. לפיכך, מי שמפרסם פרסום מוגן לפי סעיף 13 ייהנה מהגנה בסעיף, אפילו הדברים היו שקריים והוא פעל בחוסר תום לב ואף בזדון.</w:t>
      </w:r>
    </w:p>
    <w:p w:rsidR="00FE17CC" w:rsidRPr="0099157E" w:rsidRDefault="00FE17CC" w:rsidP="00FE17CC">
      <w:pPr>
        <w:spacing w:line="360" w:lineRule="auto"/>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הוראת הסעיף הוכרה בפסיקה כמקימה </w:t>
      </w:r>
      <w:r w:rsidRPr="0099157E">
        <w:rPr>
          <w:rFonts w:hint="cs"/>
          <w:b/>
          <w:bCs/>
          <w:rtl/>
        </w:rPr>
        <w:t>מחסום בלתי עביר</w:t>
      </w:r>
      <w:r w:rsidRPr="0099157E">
        <w:rPr>
          <w:rFonts w:hint="cs"/>
          <w:rtl/>
        </w:rPr>
        <w:t xml:space="preserve"> בפני הגשת תביעה בלשון הרע. כפי שקבע בית המשפט העליון בע"א 211/82 </w:t>
      </w:r>
      <w:r w:rsidRPr="0099157E">
        <w:rPr>
          <w:rFonts w:hint="cs"/>
          <w:b/>
          <w:bCs/>
          <w:rtl/>
        </w:rPr>
        <w:t xml:space="preserve">ננס נ' </w:t>
      </w:r>
      <w:proofErr w:type="spellStart"/>
      <w:r w:rsidRPr="0099157E">
        <w:rPr>
          <w:rFonts w:hint="cs"/>
          <w:b/>
          <w:bCs/>
          <w:rtl/>
        </w:rPr>
        <w:t>פלורו</w:t>
      </w:r>
      <w:proofErr w:type="spellEnd"/>
      <w:r w:rsidRPr="0099157E">
        <w:rPr>
          <w:rFonts w:hint="cs"/>
          <w:b/>
          <w:bCs/>
          <w:rtl/>
        </w:rPr>
        <w:t>,</w:t>
      </w:r>
      <w:r w:rsidRPr="0099157E">
        <w:rPr>
          <w:rFonts w:hint="cs"/>
          <w:rtl/>
        </w:rPr>
        <w:t xml:space="preserve"> פ"ד מ(1) 210 215 (1986): "עיון בסעיפיו המשניים של סעיף 13 מלמדנו, כי כל שביקש המחוקק בסעיף זה הוא להעניק זכייה מוחלטת לפרסומים הנוגעים לתחום תפקידם של ממלאי תפקידים רשמיים ושל רשויות רשמיות" (פסקה 11). </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באופן דומה, בע"א 6356/99 </w:t>
      </w:r>
      <w:proofErr w:type="spellStart"/>
      <w:r w:rsidRPr="0099157E">
        <w:rPr>
          <w:rFonts w:hint="cs"/>
          <w:b/>
          <w:bCs/>
          <w:rtl/>
        </w:rPr>
        <w:t>חטר</w:t>
      </w:r>
      <w:proofErr w:type="spellEnd"/>
      <w:r w:rsidRPr="0099157E">
        <w:rPr>
          <w:rFonts w:hint="cs"/>
          <w:b/>
          <w:bCs/>
          <w:rtl/>
        </w:rPr>
        <w:t>-ישי נ' ארבל,</w:t>
      </w:r>
      <w:r w:rsidRPr="0099157E">
        <w:rPr>
          <w:rFonts w:hint="cs"/>
          <w:rtl/>
        </w:rPr>
        <w:t xml:space="preserve">  פ"ד  נו(5) 254 (2002), קבעה כב' השופטת </w:t>
      </w:r>
      <w:proofErr w:type="spellStart"/>
      <w:r w:rsidRPr="0099157E">
        <w:rPr>
          <w:rFonts w:hint="cs"/>
          <w:rtl/>
        </w:rPr>
        <w:t>דורנר</w:t>
      </w:r>
      <w:proofErr w:type="spellEnd"/>
      <w:r w:rsidRPr="0099157E">
        <w:rPr>
          <w:rFonts w:hint="cs"/>
          <w:rtl/>
        </w:rPr>
        <w:t xml:space="preserve">, כתוארה דאז: "משמעה של חסינות היא כי אף שמעשה עלול להיות בלתי ראוי ובלתי חוקי, בנסיבות מסוימות מיצוי הדין עם האחראים לו איננו מתיישב עם טובת הכלל" (פסקה 10 לפסק הדין)". ראו גם רע"א 1104/07 </w:t>
      </w:r>
      <w:r w:rsidRPr="0099157E">
        <w:rPr>
          <w:rFonts w:hint="cs"/>
          <w:b/>
          <w:bCs/>
          <w:rtl/>
        </w:rPr>
        <w:t xml:space="preserve">עו"ד פואד </w:t>
      </w:r>
      <w:proofErr w:type="spellStart"/>
      <w:r w:rsidRPr="0099157E">
        <w:rPr>
          <w:rFonts w:hint="cs"/>
          <w:b/>
          <w:bCs/>
          <w:rtl/>
        </w:rPr>
        <w:t>חיר</w:t>
      </w:r>
      <w:proofErr w:type="spellEnd"/>
      <w:r w:rsidRPr="0099157E">
        <w:rPr>
          <w:rFonts w:hint="cs"/>
          <w:b/>
          <w:bCs/>
          <w:rtl/>
        </w:rPr>
        <w:t xml:space="preserve"> נ' עו"ד עודד גיל</w:t>
      </w:r>
      <w:r w:rsidRPr="0099157E">
        <w:rPr>
          <w:rFonts w:hint="cs"/>
          <w:rtl/>
        </w:rPr>
        <w:t>, תק-על 2009(3), 2464 , 2465 (2009).</w:t>
      </w:r>
    </w:p>
    <w:p w:rsidR="00FE17CC" w:rsidRPr="0099157E" w:rsidRDefault="00FE17CC" w:rsidP="00FE17CC">
      <w:pPr>
        <w:pStyle w:val="af"/>
        <w:jc w:val="both"/>
      </w:pPr>
    </w:p>
    <w:p w:rsidR="00C227C9" w:rsidRPr="0099157E" w:rsidRDefault="00C227C9" w:rsidP="00C227C9">
      <w:pPr>
        <w:pStyle w:val="af"/>
        <w:jc w:val="both"/>
      </w:pPr>
    </w:p>
    <w:p w:rsidR="00C227C9" w:rsidRPr="0099157E" w:rsidRDefault="00C227C9" w:rsidP="00C227C9">
      <w:pPr>
        <w:pStyle w:val="af"/>
        <w:numPr>
          <w:ilvl w:val="0"/>
          <w:numId w:val="1"/>
        </w:numPr>
        <w:spacing w:before="240" w:after="240" w:line="360" w:lineRule="auto"/>
        <w:jc w:val="both"/>
        <w:rPr>
          <w:rtl/>
        </w:rPr>
      </w:pPr>
      <w:r w:rsidRPr="0099157E">
        <w:rPr>
          <w:rFonts w:hint="cs"/>
          <w:rtl/>
        </w:rPr>
        <w:t xml:space="preserve"> בע"א 348/85 </w:t>
      </w:r>
      <w:r w:rsidRPr="0099157E">
        <w:rPr>
          <w:rFonts w:hint="cs"/>
          <w:b/>
          <w:bCs/>
          <w:rtl/>
        </w:rPr>
        <w:t xml:space="preserve">בן ציון נ' הוצאת מודיעין בע"מ, </w:t>
      </w:r>
      <w:r w:rsidRPr="0099157E">
        <w:rPr>
          <w:rFonts w:hint="cs"/>
          <w:rtl/>
        </w:rPr>
        <w:t xml:space="preserve"> פ"ד </w:t>
      </w:r>
      <w:proofErr w:type="spellStart"/>
      <w:r w:rsidRPr="0099157E">
        <w:rPr>
          <w:rFonts w:hint="cs"/>
          <w:rtl/>
        </w:rPr>
        <w:t>מב</w:t>
      </w:r>
      <w:proofErr w:type="spellEnd"/>
      <w:r w:rsidRPr="0099157E">
        <w:rPr>
          <w:rFonts w:hint="cs"/>
          <w:rtl/>
        </w:rPr>
        <w:t>(1) 797 (1988),</w:t>
      </w:r>
      <w:r w:rsidRPr="0099157E">
        <w:rPr>
          <w:rFonts w:hint="cs"/>
        </w:rPr>
        <w:t xml:space="preserve"> </w:t>
      </w:r>
      <w:r w:rsidRPr="0099157E">
        <w:rPr>
          <w:rFonts w:hint="cs"/>
          <w:rtl/>
        </w:rPr>
        <w:t xml:space="preserve">אף קבע בית המשפט העליון, כי סעיף 13 הופך פרסום אסור למותר. ובלשונו: </w:t>
      </w:r>
    </w:p>
    <w:p w:rsidR="00C227C9" w:rsidRPr="0099157E" w:rsidRDefault="00C227C9" w:rsidP="00C227C9">
      <w:pPr>
        <w:pStyle w:val="af"/>
        <w:spacing w:before="240" w:after="240" w:line="360" w:lineRule="auto"/>
        <w:jc w:val="both"/>
      </w:pPr>
    </w:p>
    <w:p w:rsidR="00C227C9" w:rsidRPr="0099157E" w:rsidRDefault="00C227C9" w:rsidP="00C227C9">
      <w:pPr>
        <w:pStyle w:val="af"/>
        <w:spacing w:before="240" w:after="240" w:line="360" w:lineRule="auto"/>
        <w:ind w:left="1502" w:right="567" w:hanging="142"/>
        <w:jc w:val="both"/>
        <w:rPr>
          <w:rtl/>
        </w:rPr>
      </w:pPr>
      <w:r w:rsidRPr="0099157E">
        <w:rPr>
          <w:rFonts w:hint="cs"/>
          <w:rtl/>
        </w:rPr>
        <w:t xml:space="preserve">  "פרסום העונה על הוראות איזה מסעיפי המשנה של סעיף 13 אינו מהוה עילה למשפט פלילי או אזרחי. כך מורה הרישא לסעיף 13. בכך נעשה הפרסום למותר. זה ההיתר המוכר במשפט האנגלי, ובעקבותיו פקודת </w:t>
      </w:r>
      <w:proofErr w:type="spellStart"/>
      <w:r w:rsidRPr="0099157E">
        <w:rPr>
          <w:rFonts w:hint="cs"/>
          <w:rtl/>
        </w:rPr>
        <w:t>הנזיקין</w:t>
      </w:r>
      <w:proofErr w:type="spellEnd"/>
      <w:r w:rsidRPr="0099157E">
        <w:rPr>
          <w:rFonts w:hint="cs"/>
          <w:rtl/>
        </w:rPr>
        <w:t xml:space="preserve"> המקורית שלנו (סעיפים 19ו-20), כפריבילגיה המחלטת (</w:t>
      </w:r>
      <w:r w:rsidRPr="0099157E">
        <w:t>ABSOLUTE PRIVILEGE</w:t>
      </w:r>
      <w:r w:rsidRPr="0099157E">
        <w:rPr>
          <w:rFonts w:hint="cs"/>
          <w:rtl/>
        </w:rPr>
        <w:t>) להבדיל מהפריבילגיה המסויגת (</w:t>
      </w:r>
      <w:r w:rsidRPr="0099157E">
        <w:t>QUALIFIED PRIVILEGE</w:t>
      </w:r>
      <w:r w:rsidRPr="0099157E">
        <w:rPr>
          <w:rFonts w:hint="cs"/>
          <w:rtl/>
        </w:rPr>
        <w:t>) שהחוק שלנו דן בה בסעיף 15 ובהערת השוליים היא מכונה "הגנת תם לב"</w:t>
      </w:r>
      <w:r w:rsidRPr="0099157E">
        <w:rPr>
          <w:rFonts w:hint="cs"/>
        </w:rPr>
        <w:t xml:space="preserve"> </w:t>
      </w:r>
      <w:r w:rsidRPr="0099157E">
        <w:rPr>
          <w:rFonts w:hint="cs"/>
          <w:rtl/>
        </w:rPr>
        <w:t>(פסקה 1).</w:t>
      </w:r>
      <w:r w:rsidRPr="0099157E">
        <w:rPr>
          <w:rStyle w:val="af0"/>
          <w:rFonts w:hint="cs"/>
          <w:rtl/>
        </w:rPr>
        <w:t xml:space="preserve">  </w:t>
      </w:r>
      <w:r w:rsidRPr="0099157E">
        <w:rPr>
          <w:rFonts w:hint="cs"/>
          <w:rtl/>
        </w:rPr>
        <w:t xml:space="preserve">עמדה דומה ננקטה בבתי המשפט המחוזיים נשמעה עמדה דומה. כך, בע"א (תל-אביב-יפו) 2685/00 </w:t>
      </w:r>
      <w:r w:rsidRPr="0099157E">
        <w:rPr>
          <w:rFonts w:hint="cs"/>
          <w:b/>
          <w:bCs/>
          <w:rtl/>
        </w:rPr>
        <w:t>יצחק נ' מוזס,</w:t>
      </w:r>
      <w:r w:rsidRPr="0099157E">
        <w:rPr>
          <w:rFonts w:hint="cs"/>
          <w:rtl/>
        </w:rPr>
        <w:t xml:space="preserve"> תק-מח 2003(1), 2557 נקבע כי: "סעיף 13 כולו עוסק בפרסומים מותרים, כאמור בכותרת הסעיף. הגם שהשתמשתי קודם בביטוי הגנה, יש לשים לב לכך כי על-פי כותרת הסעיף מדובר ב"פרסומים מותרים". דהיינו, לכאורה לפי נוסח </w:t>
      </w:r>
      <w:r w:rsidRPr="0099157E">
        <w:rPr>
          <w:rFonts w:hint="cs"/>
          <w:rtl/>
        </w:rPr>
        <w:lastRenderedPageBreak/>
        <w:t xml:space="preserve">הסעיף וכותרתו, פרסומם - אינו מהווה עבירה. זאת בניגוד לסעיפים 14ו-15, למשל, שבהם משתמש המחוקק במילה הגנה - דהיינו נעברה עבירה אלא שבמקרים המפורטים, עומדת לעבריין הגנה" (פסקה ה'). </w:t>
      </w:r>
    </w:p>
    <w:p w:rsidR="00FE17CC" w:rsidRPr="0099157E" w:rsidRDefault="00FE17CC" w:rsidP="00FE17CC">
      <w:pPr>
        <w:jc w:val="both"/>
        <w:rPr>
          <w:rtl/>
        </w:rPr>
      </w:pPr>
    </w:p>
    <w:p w:rsidR="00FE17CC" w:rsidRPr="0099157E" w:rsidRDefault="00C227C9" w:rsidP="00C227C9">
      <w:pPr>
        <w:pStyle w:val="af"/>
        <w:numPr>
          <w:ilvl w:val="0"/>
          <w:numId w:val="1"/>
        </w:numPr>
        <w:spacing w:before="240" w:after="240" w:line="360" w:lineRule="auto"/>
        <w:jc w:val="both"/>
      </w:pPr>
      <w:r w:rsidRPr="0099157E">
        <w:rPr>
          <w:rFonts w:hint="cs"/>
          <w:rtl/>
        </w:rPr>
        <w:t xml:space="preserve">באופן דומה, </w:t>
      </w:r>
      <w:r w:rsidR="00FE17CC" w:rsidRPr="0099157E">
        <w:rPr>
          <w:rFonts w:hint="cs"/>
          <w:rtl/>
        </w:rPr>
        <w:t xml:space="preserve">בת"א (ירושלים) 12390/99 </w:t>
      </w:r>
      <w:r w:rsidR="00FE17CC" w:rsidRPr="0099157E">
        <w:rPr>
          <w:rFonts w:hint="cs"/>
          <w:b/>
          <w:bCs/>
          <w:rtl/>
        </w:rPr>
        <w:t xml:space="preserve">קלמן נ' מפלגת יהדות התורה המאוחדת אגודת ישראל דגל התורה, </w:t>
      </w:r>
      <w:r w:rsidR="00FE17CC" w:rsidRPr="0099157E">
        <w:rPr>
          <w:rFonts w:hint="cs"/>
          <w:rtl/>
        </w:rPr>
        <w:t xml:space="preserve">תק-של 2004(3) 2149 נקבע כי: "טענת הגנה הנסמכת על סעיף 13 לחוק איסור לשון הרע הנה טענה 'מוחצת', במובן זה שהיא מציבה מחסום מוקדם ובלתי-עביר בדרך להגשת תביעה או כתב אישום שעניינם פרסום הנתפס בגדרו של הסעיף. שיקול הדעת של בית המשפט מוגבל לשאלה האם הפרסום אכן נכלל בגדר אחת החלופות של סעיף 13. משעה שהתשובה לשאלה זו חיובית, הפרסום נהנה מחסינות, ולפיכך אינו יכול לבסס אשמה פלילית או תביעה אזרחית גם אם יש בו משום לשון הרע וגם אם המפרסם אינו נהנה מאחת </w:t>
      </w:r>
      <w:proofErr w:type="spellStart"/>
      <w:r w:rsidR="00FE17CC" w:rsidRPr="0099157E">
        <w:rPr>
          <w:rFonts w:hint="cs"/>
          <w:rtl/>
        </w:rPr>
        <w:t>ההגנות</w:t>
      </w:r>
      <w:proofErr w:type="spellEnd"/>
      <w:r w:rsidR="00FE17CC" w:rsidRPr="0099157E">
        <w:rPr>
          <w:rFonts w:hint="cs"/>
          <w:rtl/>
        </w:rPr>
        <w:t xml:space="preserve"> או ההקלות המפורטות בסעיפים אחרים של החוק" (פסקה 4). </w:t>
      </w:r>
    </w:p>
    <w:p w:rsidR="00FE17CC" w:rsidRPr="0099157E" w:rsidRDefault="00FE17CC" w:rsidP="00FE17CC">
      <w:pPr>
        <w:pStyle w:val="af"/>
        <w:jc w:val="both"/>
        <w:rPr>
          <w:b/>
          <w:bCs/>
          <w:u w:val="single"/>
        </w:rPr>
      </w:pPr>
    </w:p>
    <w:p w:rsidR="00FE17CC" w:rsidRPr="0099157E" w:rsidRDefault="00FE17CC" w:rsidP="00FE17CC">
      <w:pPr>
        <w:jc w:val="both"/>
        <w:rPr>
          <w:u w:val="single"/>
          <w:rtl/>
        </w:rPr>
      </w:pPr>
      <w:r w:rsidRPr="0099157E">
        <w:rPr>
          <w:rFonts w:hint="cs"/>
          <w:u w:val="single"/>
          <w:rtl/>
        </w:rPr>
        <w:t>המניע והיסוד הנפשי ביסוד הפרסום, גם אם מדובר בזדון תוך כוונה לפגוע, אינו גורע מהחסינות</w:t>
      </w: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ממכלול האמור עולה כי סעיף 13 לחוק מעניק משקל מכריע לאינטרסים כלליים ציבוריים בהתנגשות ביניהם לבין האינטרס של הגנה על שמו הטוב של התובע. בפסיקה נקבע כי אדם המפרסם פרסום, הנכלל ברשימת הפרסומים שבסעיף, יוכל לחסות בצלו גם אם הפרסום היה כוזב וגם אם פעל בזדון. כפי שקבע בית המשפט העליון במפורש בעניין </w:t>
      </w:r>
      <w:r w:rsidRPr="0099157E">
        <w:rPr>
          <w:rFonts w:hint="cs"/>
          <w:b/>
          <w:bCs/>
          <w:rtl/>
        </w:rPr>
        <w:t>חוטר ישי</w:t>
      </w:r>
      <w:r w:rsidRPr="0099157E">
        <w:rPr>
          <w:rFonts w:hint="cs"/>
          <w:rtl/>
        </w:rPr>
        <w:t>:</w:t>
      </w:r>
      <w:r w:rsidRPr="0099157E">
        <w:rPr>
          <w:rFonts w:hint="cs"/>
          <w:b/>
          <w:bCs/>
          <w:rtl/>
        </w:rPr>
        <w:t xml:space="preserve"> </w:t>
      </w:r>
      <w:r w:rsidRPr="0099157E">
        <w:rPr>
          <w:rFonts w:hint="cs"/>
          <w:rtl/>
        </w:rPr>
        <w:t>"לעניין זה אין נפקות לשאלה מהו המניע של נושא המשרה בהוצאת לשון הרע או אם לשון הרע נאמרה ברשלנות או במזיד. השוו</w:t>
      </w:r>
      <w:r w:rsidRPr="0099157E">
        <w:rPr>
          <w:rFonts w:hint="cs"/>
          <w:b/>
          <w:bCs/>
          <w:rtl/>
        </w:rPr>
        <w:t xml:space="preserve"> שנהר</w:t>
      </w:r>
      <w:r w:rsidRPr="0099157E">
        <w:rPr>
          <w:rFonts w:hint="cs"/>
          <w:rtl/>
        </w:rPr>
        <w:t xml:space="preserve">, שם בעמ' 205-191. שכן, בדיקת המניע, הרשלנות או הכוונה תחייב קיום הליך משפטי ודיון לגופם של דברים, ובקיום ההליך, כשלעצמו, יש השפעה מרתיעה על בעל התפקיד" (פסקה 11). </w:t>
      </w:r>
    </w:p>
    <w:p w:rsidR="00FE17CC" w:rsidRPr="0099157E" w:rsidRDefault="00FE17CC" w:rsidP="00FE17CC">
      <w:pPr>
        <w:pStyle w:val="af"/>
        <w:spacing w:before="240" w:after="240" w:line="360" w:lineRule="auto"/>
        <w:jc w:val="both"/>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גם </w:t>
      </w:r>
      <w:r w:rsidRPr="0099157E">
        <w:rPr>
          <w:rFonts w:hint="cs"/>
          <w:b/>
          <w:bCs/>
          <w:rtl/>
        </w:rPr>
        <w:t>שנהר</w:t>
      </w:r>
      <w:r w:rsidRPr="0099157E">
        <w:rPr>
          <w:rFonts w:hint="cs"/>
          <w:rtl/>
        </w:rPr>
        <w:t xml:space="preserve"> סבור, שאין מקום להחיל על סעיף 13 את הדרישה הקבועה בסעיף 15, ולפיה, הפרסום ייעשה בתום לב (</w:t>
      </w:r>
      <w:r w:rsidRPr="0099157E">
        <w:rPr>
          <w:rFonts w:hint="cs"/>
          <w:b/>
          <w:bCs/>
          <w:rtl/>
        </w:rPr>
        <w:t>שנהר</w:t>
      </w:r>
      <w:r w:rsidRPr="0099157E">
        <w:rPr>
          <w:rFonts w:hint="cs"/>
          <w:rtl/>
        </w:rPr>
        <w:t xml:space="preserve"> עמ' 195).</w:t>
      </w:r>
    </w:p>
    <w:p w:rsidR="00FE17CC" w:rsidRPr="0099157E" w:rsidRDefault="00FE17CC" w:rsidP="00FE17CC">
      <w:pPr>
        <w:pStyle w:val="af"/>
        <w:jc w:val="both"/>
      </w:pPr>
    </w:p>
    <w:p w:rsidR="00FE17CC" w:rsidRPr="0099157E" w:rsidRDefault="00FE17CC" w:rsidP="00FE17CC">
      <w:pPr>
        <w:spacing w:before="240" w:after="240" w:line="360" w:lineRule="auto"/>
        <w:jc w:val="both"/>
        <w:rPr>
          <w:u w:val="single"/>
          <w:rtl/>
        </w:rPr>
      </w:pPr>
      <w:r w:rsidRPr="0099157E">
        <w:rPr>
          <w:rFonts w:hint="cs"/>
          <w:u w:val="single"/>
          <w:rtl/>
        </w:rPr>
        <w:t>שאלת אמיתות הפרסום גם היא אינה רלבנטית לתחולת החסינות</w:t>
      </w:r>
    </w:p>
    <w:p w:rsidR="00FE17CC" w:rsidRPr="0099157E" w:rsidRDefault="00FE17CC" w:rsidP="00FE17CC">
      <w:pPr>
        <w:pStyle w:val="af"/>
        <w:spacing w:before="240" w:after="240" w:line="360" w:lineRule="auto"/>
        <w:jc w:val="both"/>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סעיף 13 לחוק אינו קובע במפורש כי הוא חל גם על פרסומים שאינם נכונים ואשר נעשו בזדון ומתוך כוונה לפגוע, אך זו הפרשנות המקובלת. </w:t>
      </w:r>
    </w:p>
    <w:p w:rsidR="00FE17CC" w:rsidRPr="0099157E" w:rsidRDefault="00FE17CC" w:rsidP="00FE17CC">
      <w:pPr>
        <w:pStyle w:val="af"/>
        <w:spacing w:before="240" w:after="240" w:line="360" w:lineRule="auto"/>
        <w:jc w:val="both"/>
      </w:pPr>
    </w:p>
    <w:p w:rsidR="00FE17CC" w:rsidRPr="0099157E" w:rsidRDefault="00FE17CC" w:rsidP="00FE17CC">
      <w:pPr>
        <w:pStyle w:val="af"/>
        <w:numPr>
          <w:ilvl w:val="0"/>
          <w:numId w:val="1"/>
        </w:numPr>
        <w:spacing w:before="240" w:after="240" w:line="360" w:lineRule="auto"/>
        <w:jc w:val="both"/>
      </w:pPr>
      <w:r w:rsidRPr="0099157E">
        <w:rPr>
          <w:rFonts w:hint="cs"/>
          <w:rtl/>
        </w:rPr>
        <w:lastRenderedPageBreak/>
        <w:t xml:space="preserve">כך, בית המשפט העליון, כבר בע"א 241/60 </w:t>
      </w:r>
      <w:r w:rsidRPr="0099157E">
        <w:rPr>
          <w:rFonts w:hint="cs"/>
          <w:b/>
          <w:bCs/>
          <w:rtl/>
        </w:rPr>
        <w:t xml:space="preserve">תיק נ' </w:t>
      </w:r>
      <w:proofErr w:type="spellStart"/>
      <w:r w:rsidRPr="0099157E">
        <w:rPr>
          <w:rFonts w:hint="cs"/>
          <w:b/>
          <w:bCs/>
          <w:rtl/>
        </w:rPr>
        <w:t>קריניצי</w:t>
      </w:r>
      <w:proofErr w:type="spellEnd"/>
      <w:r w:rsidRPr="0099157E">
        <w:rPr>
          <w:rFonts w:hint="cs"/>
          <w:b/>
          <w:bCs/>
          <w:rtl/>
        </w:rPr>
        <w:t>,</w:t>
      </w:r>
      <w:r w:rsidRPr="0099157E">
        <w:rPr>
          <w:rFonts w:hint="cs"/>
          <w:rtl/>
        </w:rPr>
        <w:t xml:space="preserve"> </w:t>
      </w:r>
      <w:proofErr w:type="spellStart"/>
      <w:r w:rsidRPr="0099157E">
        <w:rPr>
          <w:rFonts w:hint="cs"/>
          <w:rtl/>
        </w:rPr>
        <w:t>פד"י</w:t>
      </w:r>
      <w:proofErr w:type="spellEnd"/>
      <w:r w:rsidRPr="0099157E">
        <w:rPr>
          <w:rFonts w:hint="cs"/>
          <w:rtl/>
        </w:rPr>
        <w:t xml:space="preserve"> יד, 2489 (1960), בעמ' 2492 קבע כי סעיף 13 חל לא רק כאשר הפרסום נעשה בזדון בכוונה לפגוע אלא גם על פרסומים שאינם אמת.</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כך פסק גם בית המשפט העליון בעניין </w:t>
      </w:r>
      <w:r w:rsidRPr="0099157E">
        <w:rPr>
          <w:rFonts w:hint="cs"/>
          <w:b/>
          <w:bCs/>
          <w:rtl/>
        </w:rPr>
        <w:t>חוטר ישי נ' ארבל</w:t>
      </w:r>
      <w:r w:rsidRPr="0099157E">
        <w:rPr>
          <w:rFonts w:hint="cs"/>
          <w:rtl/>
        </w:rPr>
        <w:t xml:space="preserve">. </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באופן דומה, נקבע גם בע"א (מחוזי </w:t>
      </w:r>
      <w:proofErr w:type="spellStart"/>
      <w:r w:rsidRPr="0099157E">
        <w:rPr>
          <w:rFonts w:hint="cs"/>
          <w:rtl/>
        </w:rPr>
        <w:t>נצ</w:t>
      </w:r>
      <w:proofErr w:type="spellEnd"/>
      <w:r w:rsidRPr="0099157E">
        <w:rPr>
          <w:rFonts w:hint="cs"/>
          <w:rtl/>
        </w:rPr>
        <w:t xml:space="preserve">') 57/08 </w:t>
      </w:r>
      <w:r w:rsidRPr="0099157E">
        <w:rPr>
          <w:rFonts w:hint="cs"/>
          <w:b/>
          <w:bCs/>
          <w:rtl/>
        </w:rPr>
        <w:t>חייט נ' אשל</w:t>
      </w:r>
      <w:r w:rsidRPr="0099157E">
        <w:rPr>
          <w:rFonts w:hint="cs"/>
          <w:rtl/>
        </w:rPr>
        <w:t>, תק-מח 2008(4) 3300 (2008): "המערערים מלינים, כאמור, על קביעתו של בית המשפט קמא, לפיה אפילו עומדים מאחורי הפרסום מניעים זרים, זדון וכיו"ב, הפרסום חוסה תחת הגנת סעיף 13(9) לחוק. ובכן לטרוניה זו של המערערים אינני רואה יסוד. הלכה היא, כי פרסום העונה לתנאים הקבועים בסעיף 13 לחוק על חלופותיו נהנה מהגנה, אף אם הפרסום כוזב, ומוּנַע ממניעים שלא ממין העניין" (פסקה 8 ).</w:t>
      </w:r>
    </w:p>
    <w:p w:rsidR="00FE17CC" w:rsidRPr="0099157E" w:rsidRDefault="00FE17CC" w:rsidP="00FE17CC">
      <w:pPr>
        <w:pStyle w:val="af"/>
        <w:jc w:val="both"/>
      </w:pPr>
    </w:p>
    <w:p w:rsidR="00FE17CC" w:rsidRPr="0099157E" w:rsidRDefault="00FE17CC" w:rsidP="00FE17CC">
      <w:pPr>
        <w:jc w:val="both"/>
        <w:rPr>
          <w:b/>
          <w:bCs/>
          <w:u w:val="single"/>
          <w:rtl/>
        </w:rPr>
      </w:pPr>
    </w:p>
    <w:p w:rsidR="00FE17CC" w:rsidRPr="0099157E" w:rsidRDefault="00FE17CC" w:rsidP="00FE17CC">
      <w:pPr>
        <w:jc w:val="both"/>
        <w:rPr>
          <w:u w:val="single"/>
          <w:rtl/>
        </w:rPr>
      </w:pPr>
      <w:r w:rsidRPr="0099157E">
        <w:rPr>
          <w:rFonts w:hint="cs"/>
          <w:b/>
          <w:bCs/>
          <w:u w:val="single"/>
          <w:rtl/>
        </w:rPr>
        <w:t xml:space="preserve"> </w:t>
      </w:r>
      <w:r w:rsidRPr="0099157E">
        <w:rPr>
          <w:rFonts w:hint="cs"/>
          <w:u w:val="single"/>
          <w:rtl/>
        </w:rPr>
        <w:t xml:space="preserve">החסינות לפי סעיף 15(3) לחוק חלה גם כאשר אין קשר בין נושא הדיון לפרסום </w:t>
      </w:r>
    </w:p>
    <w:p w:rsidR="00FE17CC" w:rsidRPr="0099157E" w:rsidRDefault="00FE17CC" w:rsidP="00FE17CC">
      <w:pPr>
        <w:pStyle w:val="af"/>
        <w:jc w:val="both"/>
        <w:rPr>
          <w:rtl/>
        </w:rPr>
      </w:pPr>
    </w:p>
    <w:p w:rsidR="00FE17CC" w:rsidRPr="0099157E" w:rsidRDefault="00FE17CC" w:rsidP="00FE17CC">
      <w:pPr>
        <w:pStyle w:val="af"/>
        <w:numPr>
          <w:ilvl w:val="0"/>
          <w:numId w:val="1"/>
        </w:numPr>
        <w:spacing w:before="240" w:after="240" w:line="360" w:lineRule="auto"/>
        <w:jc w:val="both"/>
        <w:rPr>
          <w:b/>
          <w:bCs/>
          <w:rtl/>
        </w:rPr>
      </w:pPr>
      <w:r w:rsidRPr="0099157E">
        <w:rPr>
          <w:rtl/>
        </w:rPr>
        <w:t>הפסיקה קבעה כי לא נדרש כי יהיה קשר בין נושא הדיון המשפטי לפרסום שבמחלוקת, וגם פרסום שאין בו כדי לשרת או לקדם את הדיון המשפטי שבגדרו הוא נעשה הוא מוגן לפי סע' 13(5) לחוק. וכפי שנקבע בדעת רוב ב</w:t>
      </w:r>
      <w:r w:rsidRPr="0099157E">
        <w:rPr>
          <w:b/>
          <w:bCs/>
          <w:rtl/>
        </w:rPr>
        <w:t xml:space="preserve">עניין </w:t>
      </w:r>
      <w:proofErr w:type="spellStart"/>
      <w:r w:rsidRPr="0099157E">
        <w:rPr>
          <w:b/>
          <w:bCs/>
          <w:rtl/>
        </w:rPr>
        <w:t>חיר</w:t>
      </w:r>
      <w:proofErr w:type="spellEnd"/>
      <w:r w:rsidRPr="0099157E">
        <w:rPr>
          <w:rtl/>
        </w:rPr>
        <w:t xml:space="preserve"> הנ"ל: "... הדין המצוי – סעיף 13(5) ל</w:t>
      </w:r>
      <w:hyperlink r:id="rId20" w:history="1">
        <w:r w:rsidRPr="0099157E">
          <w:rPr>
            <w:rStyle w:val="Hyperlink"/>
            <w:rFonts w:ascii="David" w:hAnsi="David" w:cs="David"/>
            <w:color w:val="auto"/>
            <w:u w:val="none"/>
            <w:rtl/>
          </w:rPr>
          <w:t>חוק איסור לשון הרע</w:t>
        </w:r>
      </w:hyperlink>
      <w:r w:rsidRPr="0099157E">
        <w:rPr>
          <w:rtl/>
        </w:rPr>
        <w:t xml:space="preserve"> – אינו כולל הגבלה תכנית כלשהי, ולא זו בלבד אלא שכאמור הגבלה שהייתה בחוק בעבר הוסרה ממנו מפורשות. ברי לחלוטין כי המחוקק ביקש לחסום את כניסתו של </w:t>
      </w:r>
      <w:hyperlink r:id="rId21" w:history="1">
        <w:r w:rsidRPr="0099157E">
          <w:rPr>
            <w:rStyle w:val="Hyperlink"/>
            <w:rFonts w:ascii="David" w:hAnsi="David" w:cs="David"/>
            <w:color w:val="auto"/>
            <w:u w:val="none"/>
            <w:rtl/>
          </w:rPr>
          <w:t>חוק איסור לשון הרע</w:t>
        </w:r>
      </w:hyperlink>
      <w:r w:rsidRPr="0099157E">
        <w:rPr>
          <w:rtl/>
        </w:rPr>
        <w:t xml:space="preserve"> לאולם המשפט (במובן הרחב), וזאת ככל הנראה מתוך השקפה שסדקים במחסום עלולים להחדיר מורא ללב המשתתפים בדיון המשפטי ולהקשות עליהם למלא את תפקידם. אין בית המשפט יכול ואין זה ראוי שיצוק אל החוק תוכן רצוי, לדעתו, העומד בניגוד ברור לכוונה המפורשת של המחוקק... קל וחומר כך במקום שבו, כבענייננו, יש הגיון ויש תועלת לבחירת המחוקק הן בשל העיקרון בדבר חופש הביטוי הן בשל הצורך לקיים את האינטרס בדבר קיום הדיון המשפטי באופן חופשי. משזו כוונתו הברורה של החוק אין לקבוע חריג או סייג להגנה המוחלטת שבסעיף 13(5) ..." (פסקה 10).</w:t>
      </w:r>
    </w:p>
    <w:p w:rsidR="00FE17CC" w:rsidRPr="0099157E" w:rsidRDefault="00FE17CC" w:rsidP="00FE17CC">
      <w:pPr>
        <w:pStyle w:val="af"/>
        <w:spacing w:before="240" w:after="240" w:line="360" w:lineRule="auto"/>
        <w:jc w:val="both"/>
        <w:rPr>
          <w:b/>
          <w:bCs/>
          <w:u w:val="single"/>
        </w:rPr>
      </w:pPr>
    </w:p>
    <w:p w:rsidR="00FE17CC" w:rsidRPr="0099157E" w:rsidRDefault="00FE17CC" w:rsidP="00FE17CC">
      <w:pPr>
        <w:pStyle w:val="af"/>
        <w:numPr>
          <w:ilvl w:val="0"/>
          <w:numId w:val="1"/>
        </w:numPr>
        <w:spacing w:before="240" w:after="240" w:line="360" w:lineRule="auto"/>
        <w:jc w:val="both"/>
        <w:rPr>
          <w:b/>
          <w:bCs/>
        </w:rPr>
      </w:pPr>
      <w:r w:rsidRPr="0099157E">
        <w:rPr>
          <w:rtl/>
        </w:rPr>
        <w:t xml:space="preserve">בהתאם להלכה זו נפסק </w:t>
      </w:r>
      <w:proofErr w:type="spellStart"/>
      <w:r w:rsidRPr="0099157E">
        <w:rPr>
          <w:rtl/>
        </w:rPr>
        <w:t>בעמ"ש</w:t>
      </w:r>
      <w:proofErr w:type="spellEnd"/>
      <w:r w:rsidRPr="0099157E">
        <w:rPr>
          <w:rtl/>
        </w:rPr>
        <w:t xml:space="preserve"> (מח-מרכז) 53338-03-22</w:t>
      </w:r>
      <w:r w:rsidRPr="0099157E">
        <w:rPr>
          <w:b/>
          <w:bCs/>
          <w:rtl/>
        </w:rPr>
        <w:t xml:space="preserve"> ס. ואח' נ' ס.</w:t>
      </w:r>
      <w:r w:rsidRPr="0099157E">
        <w:rPr>
          <w:rtl/>
        </w:rPr>
        <w:t xml:space="preserve"> נבו, ניתן ביום 4.3.23 כי:</w:t>
      </w:r>
      <w:r w:rsidRPr="0099157E">
        <w:t xml:space="preserve"> </w:t>
      </w:r>
      <w:r w:rsidRPr="0099157E">
        <w:rPr>
          <w:rtl/>
        </w:rPr>
        <w:t xml:space="preserve">"נקבע כי אין בהכרח צורך כי ההתבטאות </w:t>
      </w:r>
      <w:proofErr w:type="spellStart"/>
      <w:r w:rsidRPr="0099157E">
        <w:rPr>
          <w:rtl/>
        </w:rPr>
        <w:t>הדיבתית</w:t>
      </w:r>
      <w:proofErr w:type="spellEnd"/>
      <w:r w:rsidRPr="0099157E">
        <w:rPr>
          <w:rtl/>
        </w:rPr>
        <w:t xml:space="preserve"> תהא קשורה לדיון המשפטי ותשרת אותו או שיסודה ברשעות ובזדון. דרישה שלפיה הפרסום ייעשה "לצורך הדיון ובקשר </w:t>
      </w:r>
      <w:proofErr w:type="spellStart"/>
      <w:r w:rsidRPr="0099157E">
        <w:rPr>
          <w:rtl/>
        </w:rPr>
        <w:t>איתו</w:t>
      </w:r>
      <w:proofErr w:type="spellEnd"/>
      <w:r w:rsidRPr="0099157E">
        <w:rPr>
          <w:rtl/>
        </w:rPr>
        <w:t xml:space="preserve">" נכללה במקור בחוק, אך נשמטה ממנו על-פי הוראת </w:t>
      </w:r>
      <w:hyperlink r:id="rId22" w:history="1">
        <w:r w:rsidRPr="0099157E">
          <w:rPr>
            <w:rStyle w:val="Hyperlink"/>
            <w:rFonts w:ascii="David" w:hAnsi="David" w:cs="David"/>
            <w:color w:val="auto"/>
            <w:u w:val="none"/>
            <w:rtl/>
          </w:rPr>
          <w:t>סעיף 7</w:t>
        </w:r>
      </w:hyperlink>
      <w:r w:rsidRPr="0099157E">
        <w:rPr>
          <w:rtl/>
        </w:rPr>
        <w:t xml:space="preserve"> ל</w:t>
      </w:r>
      <w:hyperlink r:id="rId23" w:history="1">
        <w:r w:rsidRPr="0099157E">
          <w:rPr>
            <w:rStyle w:val="Hyperlink"/>
            <w:rFonts w:ascii="David" w:hAnsi="David" w:cs="David"/>
            <w:color w:val="auto"/>
            <w:u w:val="none"/>
            <w:rtl/>
          </w:rPr>
          <w:t>חוק לשון הרע</w:t>
        </w:r>
      </w:hyperlink>
      <w:r w:rsidRPr="0099157E">
        <w:rPr>
          <w:rtl/>
        </w:rPr>
        <w:t xml:space="preserve"> (תיקון), התשכ"ז-1967. מכאן ניתן לכאורה ללמוד שהמחוקק במפורש ביקש למנוע בירור תוכני באשר לקשר שבין התבטאות שנאמרה תוך כדי דיון משפטי לבין נושא הדיון" (פסקה 29).</w:t>
      </w:r>
    </w:p>
    <w:p w:rsidR="00FE17CC" w:rsidRPr="0099157E" w:rsidRDefault="00FE17CC" w:rsidP="00FE17CC">
      <w:pPr>
        <w:pStyle w:val="af"/>
        <w:spacing w:before="240" w:after="240" w:line="360" w:lineRule="auto"/>
        <w:jc w:val="both"/>
      </w:pPr>
    </w:p>
    <w:p w:rsidR="00FE17CC" w:rsidRPr="0099157E" w:rsidRDefault="00FE17CC" w:rsidP="00FE17CC">
      <w:pPr>
        <w:jc w:val="both"/>
        <w:rPr>
          <w:u w:val="single"/>
          <w:rtl/>
        </w:rPr>
      </w:pPr>
      <w:r w:rsidRPr="0099157E">
        <w:rPr>
          <w:rFonts w:hint="cs"/>
          <w:u w:val="single"/>
          <w:rtl/>
        </w:rPr>
        <w:lastRenderedPageBreak/>
        <w:t>החסינות לפי סע' 13(5) חלה על כל שלב של ההליך המשפטי</w:t>
      </w:r>
    </w:p>
    <w:p w:rsidR="00FE17CC" w:rsidRPr="0099157E" w:rsidRDefault="00FE17CC" w:rsidP="00FE17CC">
      <w:pPr>
        <w:pStyle w:val="af"/>
        <w:spacing w:before="240" w:after="240" w:line="360" w:lineRule="auto"/>
        <w:jc w:val="both"/>
        <w:rPr>
          <w:rtl/>
        </w:rPr>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אין זה למותר לציין כי במסגרת הפרשנות הרחבה מאוד שניתנה </w:t>
      </w:r>
      <w:proofErr w:type="spellStart"/>
      <w:r w:rsidRPr="0099157E">
        <w:rPr>
          <w:rFonts w:hint="cs"/>
          <w:rtl/>
        </w:rPr>
        <w:t>לסע</w:t>
      </w:r>
      <w:proofErr w:type="spellEnd"/>
      <w:r w:rsidRPr="0099157E">
        <w:rPr>
          <w:rFonts w:hint="cs"/>
          <w:rtl/>
        </w:rPr>
        <w:t>' 13(5) לחוק, נקבע גם כי החסינות לפי סעיף זה חלה לא רק על דברים שנכתבו בכתבי הטענות במסגרת הליך בפני גורם שיפוטי או דברים שנאמרו באולם בית המשפט, אלא על כל שלב משלבי ההליך המשפטי.</w:t>
      </w:r>
    </w:p>
    <w:p w:rsidR="00FE17CC" w:rsidRPr="0099157E" w:rsidRDefault="00FE17CC" w:rsidP="00FE17CC">
      <w:pPr>
        <w:pStyle w:val="af"/>
        <w:spacing w:before="240" w:after="240" w:line="360" w:lineRule="auto"/>
        <w:jc w:val="both"/>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כך, לעת שהפסיקה נדרשה לפרשנות הביטוי "תוך כדי הדיון בפני" בית המשפט או הגורם </w:t>
      </w:r>
      <w:proofErr w:type="spellStart"/>
      <w:r w:rsidRPr="0099157E">
        <w:rPr>
          <w:rFonts w:hint="cs"/>
          <w:rtl/>
        </w:rPr>
        <w:t>המעין</w:t>
      </w:r>
      <w:proofErr w:type="spellEnd"/>
      <w:r w:rsidRPr="0099157E">
        <w:rPr>
          <w:rFonts w:hint="cs"/>
          <w:rtl/>
        </w:rPr>
        <w:t xml:space="preserve"> שיפוטי, כמשמעו בסעיף 13(5) לחוק, בית המשפט העליון, כבר בע"פ 364/73 </w:t>
      </w:r>
      <w:r w:rsidRPr="0099157E">
        <w:rPr>
          <w:rFonts w:hint="cs"/>
          <w:b/>
          <w:bCs/>
          <w:rtl/>
        </w:rPr>
        <w:t>זיידמן נ' מדינת ישראל,</w:t>
      </w:r>
      <w:r w:rsidRPr="0099157E">
        <w:rPr>
          <w:rFonts w:hint="cs"/>
          <w:rtl/>
        </w:rPr>
        <w:t xml:space="preserve"> פ"ד </w:t>
      </w:r>
      <w:proofErr w:type="spellStart"/>
      <w:r w:rsidRPr="0099157E">
        <w:rPr>
          <w:rFonts w:hint="cs"/>
          <w:rtl/>
        </w:rPr>
        <w:t>כח</w:t>
      </w:r>
      <w:proofErr w:type="spellEnd"/>
      <w:r w:rsidRPr="0099157E">
        <w:rPr>
          <w:rFonts w:hint="cs"/>
          <w:rtl/>
        </w:rPr>
        <w:t xml:space="preserve">(2) 620 (1976), קבע כדלקמן: "לאור המילה "בפניהם" בדיבור הנ"ל "תוך כדי הדיון כאמור" אפשר היה לפרשו על דרך הצמצום שזה חל רק על הנעשה והנאמר במהלך המשפט בפני בית-המשפט בשבתו לדין. ואולם, פירוש זה הוא צר מדי ואינו עונה לצרכים הלגיטימיים של ניהול משפט תקין באורח חפשי ללא מורא ופחד וללא חשש של הסתבכות במשפט פלילי או אזרחי. ואכן, האסמכתאות מראות שהחיסוי משתרע על כל צעד הננקט בקשר עם ההליך בכל שלב משלביו השונים, לרבות כל פניה בכתב ומסמך הנדרש במהלך הרגיל של המשפט </w:t>
      </w:r>
      <w:proofErr w:type="spellStart"/>
      <w:r w:rsidRPr="0099157E">
        <w:rPr>
          <w:rFonts w:hint="cs"/>
          <w:rtl/>
        </w:rPr>
        <w:t>והמשמשו</w:t>
      </w:r>
      <w:proofErr w:type="spellEnd"/>
      <w:r w:rsidRPr="0099157E">
        <w:rPr>
          <w:rFonts w:hint="cs"/>
          <w:rtl/>
        </w:rPr>
        <w:t xml:space="preserve"> כהלכה. הנה-כי-כן, גם צעד מוקדם של סיפור המעשה לעורך-הדין לשם הכנת עדות שתוגש במשפט העתיד לבוא הוא במסגרת החיסוי" (פסקה 1).</w:t>
      </w:r>
    </w:p>
    <w:p w:rsidR="00C65539" w:rsidRPr="0099157E" w:rsidRDefault="00C65539" w:rsidP="00C65539">
      <w:pPr>
        <w:pStyle w:val="af"/>
        <w:spacing w:line="360" w:lineRule="auto"/>
        <w:jc w:val="both"/>
      </w:pPr>
    </w:p>
    <w:p w:rsidR="00FE17CC" w:rsidRPr="0099157E" w:rsidRDefault="00FE17CC" w:rsidP="00FE17CC">
      <w:pPr>
        <w:pStyle w:val="af"/>
        <w:numPr>
          <w:ilvl w:val="0"/>
          <w:numId w:val="1"/>
        </w:numPr>
        <w:spacing w:line="360" w:lineRule="auto"/>
        <w:jc w:val="both"/>
      </w:pPr>
      <w:r w:rsidRPr="0099157E">
        <w:rPr>
          <w:rFonts w:hint="cs"/>
          <w:rtl/>
        </w:rPr>
        <w:t xml:space="preserve">פסק הדין </w:t>
      </w:r>
      <w:proofErr w:type="spellStart"/>
      <w:r w:rsidRPr="0099157E">
        <w:rPr>
          <w:rFonts w:hint="cs"/>
          <w:rtl/>
        </w:rPr>
        <w:t>ברע"א</w:t>
      </w:r>
      <w:proofErr w:type="spellEnd"/>
      <w:r w:rsidRPr="0099157E">
        <w:rPr>
          <w:rFonts w:hint="cs"/>
          <w:rtl/>
        </w:rPr>
        <w:t xml:space="preserve"> 3015/05 </w:t>
      </w:r>
      <w:r w:rsidRPr="0099157E">
        <w:rPr>
          <w:rFonts w:hint="cs"/>
          <w:b/>
          <w:bCs/>
          <w:rtl/>
        </w:rPr>
        <w:t xml:space="preserve">עו"ד יורם </w:t>
      </w:r>
      <w:proofErr w:type="spellStart"/>
      <w:r w:rsidRPr="0099157E">
        <w:rPr>
          <w:rFonts w:hint="cs"/>
          <w:b/>
          <w:bCs/>
          <w:rtl/>
        </w:rPr>
        <w:t>זריפי</w:t>
      </w:r>
      <w:proofErr w:type="spellEnd"/>
      <w:r w:rsidRPr="0099157E">
        <w:rPr>
          <w:rFonts w:hint="cs"/>
          <w:b/>
          <w:bCs/>
          <w:rtl/>
        </w:rPr>
        <w:t xml:space="preserve"> ואח' נ' עו"ד ד"ר משה כהן,</w:t>
      </w:r>
      <w:r w:rsidRPr="0099157E">
        <w:rPr>
          <w:rFonts w:hint="cs"/>
          <w:rtl/>
        </w:rPr>
        <w:t xml:space="preserve"> תק-על 2005(3), 1003 עסק במקרה שבו במסגרת תביעה שהגישו המבקשים נגד המשיב, שיגר המשיב מכתב לנשיא בית משפט השלום בירושלים, ובו טען, כי הוא חושד ש"יורם </w:t>
      </w:r>
      <w:proofErr w:type="spellStart"/>
      <w:r w:rsidRPr="0099157E">
        <w:rPr>
          <w:rFonts w:hint="cs"/>
          <w:rtl/>
        </w:rPr>
        <w:t>יזדי</w:t>
      </w:r>
      <w:proofErr w:type="spellEnd"/>
      <w:r w:rsidRPr="0099157E">
        <w:rPr>
          <w:rFonts w:hint="cs"/>
          <w:rtl/>
        </w:rPr>
        <w:t xml:space="preserve"> העלים את 'כתב ההגנה' מהתיק", ועתר "</w:t>
      </w:r>
      <w:proofErr w:type="spellStart"/>
      <w:r w:rsidRPr="0099157E">
        <w:rPr>
          <w:rFonts w:hint="cs"/>
          <w:rtl/>
        </w:rPr>
        <w:t>ליתן</w:t>
      </w:r>
      <w:proofErr w:type="spellEnd"/>
      <w:r w:rsidRPr="0099157E">
        <w:rPr>
          <w:rFonts w:hint="cs"/>
          <w:rtl/>
        </w:rPr>
        <w:t xml:space="preserve"> הנחיות לכל פקידי בימ"ש השלום בירושלים שלא לאפשר לעו"ד </w:t>
      </w:r>
      <w:proofErr w:type="spellStart"/>
      <w:r w:rsidRPr="0099157E">
        <w:rPr>
          <w:rFonts w:hint="cs"/>
          <w:rtl/>
        </w:rPr>
        <w:t>זריפי</w:t>
      </w:r>
      <w:proofErr w:type="spellEnd"/>
      <w:r w:rsidRPr="0099157E">
        <w:rPr>
          <w:rFonts w:hint="cs"/>
          <w:rtl/>
        </w:rPr>
        <w:t xml:space="preserve"> או ליורם </w:t>
      </w:r>
      <w:proofErr w:type="spellStart"/>
      <w:r w:rsidRPr="0099157E">
        <w:rPr>
          <w:rFonts w:hint="cs"/>
          <w:rtl/>
        </w:rPr>
        <w:t>יזדי</w:t>
      </w:r>
      <w:proofErr w:type="spellEnd"/>
      <w:r w:rsidRPr="0099157E">
        <w:rPr>
          <w:rFonts w:hint="cs"/>
          <w:rtl/>
        </w:rPr>
        <w:t xml:space="preserve"> לעיין בתיקי ביהמ"ש מבלי שיהיה פיקוח עליהם מטעם פקיד ביהמ"ש". בשל מכתב זה הוגשה נגדו תביעת לשון הרע, שנדחתה הן בבית משפט השלום והן בבית המשפט במחוזי, מן הטעם שעל המכתב חל סעיף 13(5) לחוק איסור לשון הרע. בית המשפט העליון, בהחלטה קצרה, אישר את ההחלטות על הנמקתן ודחה את בקשת רשות הערעור. </w:t>
      </w:r>
    </w:p>
    <w:p w:rsidR="00FE17CC" w:rsidRPr="0099157E" w:rsidRDefault="00FE17CC" w:rsidP="00FE17CC">
      <w:pPr>
        <w:pStyle w:val="af"/>
        <w:spacing w:line="360" w:lineRule="auto"/>
        <w:jc w:val="both"/>
        <w:rPr>
          <w:rtl/>
        </w:rPr>
      </w:pPr>
    </w:p>
    <w:p w:rsidR="00FE17CC" w:rsidRPr="0099157E" w:rsidRDefault="00FE17CC" w:rsidP="00FE17CC">
      <w:pPr>
        <w:pStyle w:val="af"/>
        <w:numPr>
          <w:ilvl w:val="0"/>
          <w:numId w:val="1"/>
        </w:numPr>
        <w:spacing w:line="360" w:lineRule="auto"/>
        <w:jc w:val="both"/>
        <w:rPr>
          <w:rtl/>
        </w:rPr>
      </w:pPr>
      <w:r w:rsidRPr="0099157E">
        <w:rPr>
          <w:rFonts w:hint="cs"/>
          <w:rtl/>
        </w:rPr>
        <w:t xml:space="preserve">בהתאם לכך, בפסיקה נקבע כי החסינות תחול גם כאשר הדברים נאמרו בפני בעלי תפקידים שמונו במסגרת ההליך המשפטי. כך, בבית המשפט המחוזי בע"פ (ת"א) 546/92 </w:t>
      </w:r>
      <w:r w:rsidRPr="0099157E">
        <w:rPr>
          <w:rFonts w:hint="cs"/>
          <w:b/>
          <w:bCs/>
          <w:rtl/>
        </w:rPr>
        <w:t xml:space="preserve">דורון נ' </w:t>
      </w:r>
      <w:proofErr w:type="spellStart"/>
      <w:r w:rsidRPr="0099157E">
        <w:rPr>
          <w:rFonts w:hint="cs"/>
          <w:b/>
          <w:bCs/>
          <w:rtl/>
        </w:rPr>
        <w:t>טריינין</w:t>
      </w:r>
      <w:proofErr w:type="spellEnd"/>
      <w:r w:rsidRPr="0099157E">
        <w:rPr>
          <w:rFonts w:hint="cs"/>
          <w:b/>
          <w:bCs/>
          <w:rtl/>
        </w:rPr>
        <w:t>-גורן,</w:t>
      </w:r>
      <w:r w:rsidRPr="0099157E">
        <w:rPr>
          <w:rFonts w:hint="cs"/>
          <w:rtl/>
        </w:rPr>
        <w:t xml:space="preserve"> </w:t>
      </w:r>
      <w:proofErr w:type="spellStart"/>
      <w:r w:rsidRPr="0099157E">
        <w:rPr>
          <w:rFonts w:hint="cs"/>
          <w:rtl/>
        </w:rPr>
        <w:t>פ"מ</w:t>
      </w:r>
      <w:proofErr w:type="spellEnd"/>
      <w:r w:rsidRPr="0099157E">
        <w:rPr>
          <w:rFonts w:hint="cs"/>
          <w:rtl/>
        </w:rPr>
        <w:t xml:space="preserve"> תשנ"ד(א) 441, בעמ' 460 נקבע, כי הסעיף יחול גם על מסמכים המוחלפים בין בעלי דין לפני הגשתם לבית המשפט, ואף על אמירות שנאמרו בעת ביקור במקום שעליו נסב המשפט,  גם כאשר השופט עצמו לא נכח בביקור, אלא רק מומחה מטעם בית המשפט. עם זאת, לקוחה של עורך דין, ששלחה מכתב תלונה עליו ללשכ</w:t>
      </w:r>
      <w:r w:rsidR="00A40627">
        <w:rPr>
          <w:rFonts w:hint="cs"/>
          <w:rtl/>
        </w:rPr>
        <w:t xml:space="preserve">ה, לא זכתה לחסינות מכוח הסעיף. </w:t>
      </w:r>
      <w:r w:rsidRPr="0099157E">
        <w:rPr>
          <w:rFonts w:hint="cs"/>
          <w:rtl/>
        </w:rPr>
        <w:t xml:space="preserve">ראו גם: </w:t>
      </w:r>
      <w:proofErr w:type="spellStart"/>
      <w:r w:rsidRPr="0099157E">
        <w:rPr>
          <w:rFonts w:hint="cs"/>
          <w:rtl/>
        </w:rPr>
        <w:t>עמ"ש</w:t>
      </w:r>
      <w:proofErr w:type="spellEnd"/>
      <w:r w:rsidRPr="0099157E">
        <w:rPr>
          <w:rFonts w:hint="cs"/>
          <w:rtl/>
        </w:rPr>
        <w:t xml:space="preserve"> (מח-מרכז) 53338-03-22</w:t>
      </w:r>
      <w:r w:rsidRPr="0099157E">
        <w:rPr>
          <w:rFonts w:hint="cs"/>
          <w:b/>
          <w:bCs/>
          <w:rtl/>
        </w:rPr>
        <w:t xml:space="preserve"> ס. ואח' נ' ס.</w:t>
      </w:r>
      <w:r w:rsidRPr="0099157E">
        <w:rPr>
          <w:rFonts w:hint="cs"/>
          <w:rtl/>
        </w:rPr>
        <w:t xml:space="preserve"> נבו, ניתן ביום 4.3.23, </w:t>
      </w:r>
      <w:r w:rsidRPr="0099157E">
        <w:rPr>
          <w:rFonts w:hint="cs"/>
          <w:rtl/>
        </w:rPr>
        <w:lastRenderedPageBreak/>
        <w:t>ו</w:t>
      </w:r>
      <w:r w:rsidRPr="0099157E">
        <w:rPr>
          <w:rtl/>
        </w:rPr>
        <w:t xml:space="preserve">הפסיקה של בית המשפט העליון שנזכרת שם, ובין השאר, </w:t>
      </w:r>
      <w:hyperlink r:id="rId24" w:history="1">
        <w:r w:rsidRPr="0099157E">
          <w:rPr>
            <w:rStyle w:val="Hyperlink"/>
            <w:rFonts w:ascii="David" w:hAnsi="David" w:cs="David"/>
            <w:color w:val="auto"/>
            <w:u w:val="none"/>
            <w:rtl/>
          </w:rPr>
          <w:t>ע"פ 364/73</w:t>
        </w:r>
      </w:hyperlink>
      <w:r w:rsidRPr="0099157E">
        <w:rPr>
          <w:rtl/>
        </w:rPr>
        <w:t xml:space="preserve"> </w:t>
      </w:r>
      <w:r w:rsidRPr="00A40627">
        <w:rPr>
          <w:b/>
          <w:bCs/>
          <w:rtl/>
        </w:rPr>
        <w:t>זיידמן נ' מדינת ישראל</w:t>
      </w:r>
      <w:r w:rsidRPr="0099157E">
        <w:rPr>
          <w:rtl/>
        </w:rPr>
        <w:t xml:space="preserve"> [פורסם בנבו] (1974) </w:t>
      </w:r>
      <w:proofErr w:type="spellStart"/>
      <w:r w:rsidRPr="0099157E">
        <w:rPr>
          <w:rtl/>
        </w:rPr>
        <w:t>ו</w:t>
      </w:r>
      <w:hyperlink r:id="rId25" w:history="1">
        <w:r w:rsidRPr="0099157E">
          <w:rPr>
            <w:rStyle w:val="Hyperlink"/>
            <w:rFonts w:ascii="David" w:hAnsi="David" w:cs="David"/>
            <w:color w:val="auto"/>
            <w:u w:val="none"/>
            <w:rtl/>
          </w:rPr>
          <w:t>רע"א</w:t>
        </w:r>
        <w:proofErr w:type="spellEnd"/>
        <w:r w:rsidRPr="0099157E">
          <w:rPr>
            <w:rStyle w:val="Hyperlink"/>
            <w:rFonts w:ascii="David" w:hAnsi="David" w:cs="David"/>
            <w:color w:val="auto"/>
            <w:u w:val="none"/>
            <w:rtl/>
          </w:rPr>
          <w:t xml:space="preserve"> 3614/97</w:t>
        </w:r>
      </w:hyperlink>
      <w:r w:rsidRPr="0099157E">
        <w:rPr>
          <w:rtl/>
        </w:rPr>
        <w:t xml:space="preserve"> </w:t>
      </w:r>
      <w:r w:rsidRPr="00A40627">
        <w:rPr>
          <w:b/>
          <w:bCs/>
          <w:rtl/>
        </w:rPr>
        <w:t>אבי-יצחק נ' חברת החדשות הישראלית</w:t>
      </w:r>
      <w:r w:rsidRPr="0099157E">
        <w:rPr>
          <w:rtl/>
        </w:rPr>
        <w:t xml:space="preserve"> [פורסם בנבו] (1998)).  על רקע זה, נקבע בעניין </w:t>
      </w:r>
      <w:r w:rsidRPr="0099157E">
        <w:rPr>
          <w:b/>
          <w:bCs/>
          <w:rtl/>
        </w:rPr>
        <w:t xml:space="preserve">ס. ואח' נ' ס. </w:t>
      </w:r>
      <w:r w:rsidRPr="0099157E">
        <w:rPr>
          <w:rtl/>
        </w:rPr>
        <w:t>הנ"ל</w:t>
      </w:r>
      <w:r w:rsidRPr="0099157E">
        <w:rPr>
          <w:b/>
          <w:bCs/>
          <w:rtl/>
        </w:rPr>
        <w:t xml:space="preserve"> </w:t>
      </w:r>
      <w:r w:rsidRPr="0099157E">
        <w:rPr>
          <w:rtl/>
        </w:rPr>
        <w:t>כי דברים פוגעניים שמסר בעל הדין לעו"ס לסדרי דין ולמומחה מטעם בית המשפט בתיק משמורת וזמני שהות נגד הצד האחר, חוסים תחת החסינות שבסעיף 13(5) לחוק ואינם יכולים אפוא להקים עילה לפי חוק איסור לשון הרע.</w:t>
      </w:r>
    </w:p>
    <w:p w:rsidR="00FE17CC" w:rsidRPr="0099157E" w:rsidRDefault="00FE17CC" w:rsidP="00FE17CC">
      <w:pPr>
        <w:pStyle w:val="af"/>
        <w:spacing w:line="360" w:lineRule="auto"/>
        <w:jc w:val="both"/>
      </w:pPr>
    </w:p>
    <w:p w:rsidR="00FE17CC" w:rsidRPr="0099157E" w:rsidRDefault="00FE17CC" w:rsidP="00FE17CC">
      <w:pPr>
        <w:pStyle w:val="af"/>
        <w:jc w:val="both"/>
        <w:rPr>
          <w:b/>
          <w:bCs/>
          <w:u w:val="single"/>
          <w:rtl/>
        </w:rPr>
      </w:pPr>
    </w:p>
    <w:p w:rsidR="00FE17CC" w:rsidRPr="0099157E" w:rsidRDefault="00FE17CC" w:rsidP="00FE17CC">
      <w:pPr>
        <w:pStyle w:val="af"/>
        <w:spacing w:before="240" w:after="240" w:line="360" w:lineRule="auto"/>
        <w:jc w:val="both"/>
        <w:rPr>
          <w:u w:val="single"/>
          <w:rtl/>
        </w:rPr>
      </w:pPr>
      <w:r w:rsidRPr="0099157E">
        <w:rPr>
          <w:rFonts w:hint="cs"/>
          <w:u w:val="single"/>
          <w:rtl/>
        </w:rPr>
        <w:t>סייג לחסינות לפי סעיף 13(5) – היא לא משתרעת על פרסום שנעשה בפני זרים להליך</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ברם, הפסיקה קבעה כי ההגנה הרחבה והמוחלטת לפי סעיף 13 לחוק חלה כל עוד הפרסום לא נעשה לזרים למשפט. </w:t>
      </w:r>
    </w:p>
    <w:p w:rsidR="00FE17CC" w:rsidRPr="0099157E" w:rsidRDefault="00FE17CC" w:rsidP="00FE17CC">
      <w:pPr>
        <w:pStyle w:val="af"/>
        <w:spacing w:before="240" w:after="240" w:line="360" w:lineRule="auto"/>
        <w:jc w:val="both"/>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כך, </w:t>
      </w:r>
      <w:proofErr w:type="spellStart"/>
      <w:r w:rsidRPr="0099157E">
        <w:rPr>
          <w:rFonts w:hint="cs"/>
          <w:rtl/>
        </w:rPr>
        <w:t>ברע"א</w:t>
      </w:r>
      <w:proofErr w:type="spellEnd"/>
      <w:r w:rsidRPr="0099157E">
        <w:rPr>
          <w:rFonts w:hint="cs"/>
          <w:rtl/>
        </w:rPr>
        <w:t xml:space="preserve"> 453/14  </w:t>
      </w:r>
      <w:r w:rsidRPr="0099157E">
        <w:rPr>
          <w:rFonts w:hint="cs"/>
          <w:b/>
          <w:bCs/>
          <w:rtl/>
        </w:rPr>
        <w:t>עו"ד תמיר מדר נ' שלום אורן</w:t>
      </w:r>
      <w:r w:rsidRPr="0099157E">
        <w:rPr>
          <w:rFonts w:hint="cs"/>
          <w:rtl/>
        </w:rPr>
        <w:t>, תק-על 2014(2), 9210(2014), נקבע כי תנאי לחסינות לפי סע' 13(5) לחוק הוא שהפרסום אינו נעשה לזרים, כלומר, לאנשים שאינם צד או גורם בהליך. באותו עניין מבקש רשות הערעור שלח מכתבים לנמענים שאין להם קשר לסכסוך, ולכן, כך נקבע, אין הוא זכאי לחסות בצל החסינות לפי סעיף 13(5</w:t>
      </w:r>
      <w:r w:rsidRPr="0099157E">
        <w:rPr>
          <w:rFonts w:hint="cs"/>
        </w:rPr>
        <w:t xml:space="preserve"> </w:t>
      </w:r>
      <w:r w:rsidRPr="0099157E">
        <w:rPr>
          <w:rFonts w:hint="cs"/>
          <w:rtl/>
        </w:rPr>
        <w:t xml:space="preserve">לחוק. הטענה כי דובר בנמענים שהם "עדים פוטנציאליים" ולכן "צד למשפט", והיא חלה – נדחתה. ובלשון כב' השופט </w:t>
      </w:r>
      <w:proofErr w:type="spellStart"/>
      <w:r w:rsidRPr="0099157E">
        <w:rPr>
          <w:rFonts w:hint="cs"/>
          <w:rtl/>
        </w:rPr>
        <w:t>זילברטל</w:t>
      </w:r>
      <w:proofErr w:type="spellEnd"/>
      <w:r w:rsidRPr="0099157E">
        <w:rPr>
          <w:rFonts w:hint="cs"/>
          <w:rtl/>
        </w:rPr>
        <w:t>:</w:t>
      </w:r>
    </w:p>
    <w:p w:rsidR="00FE17CC" w:rsidRPr="0099157E" w:rsidRDefault="00FE17CC" w:rsidP="00FE17CC">
      <w:pPr>
        <w:pStyle w:val="af"/>
        <w:jc w:val="both"/>
      </w:pPr>
    </w:p>
    <w:p w:rsidR="00FE17CC" w:rsidRPr="0099157E" w:rsidRDefault="00FE17CC" w:rsidP="00FE17CC">
      <w:pPr>
        <w:tabs>
          <w:tab w:val="left" w:pos="935"/>
        </w:tabs>
        <w:spacing w:line="360" w:lineRule="auto"/>
        <w:ind w:left="935" w:right="851"/>
        <w:jc w:val="both"/>
        <w:rPr>
          <w:rFonts w:ascii="David" w:hAnsi="David"/>
          <w:spacing w:val="10"/>
          <w:rtl/>
        </w:rPr>
      </w:pPr>
      <w:r w:rsidRPr="0099157E">
        <w:rPr>
          <w:rFonts w:ascii="David" w:hAnsi="David"/>
          <w:spacing w:val="10"/>
          <w:rtl/>
        </w:rPr>
        <w:t xml:space="preserve">"הגנת </w:t>
      </w:r>
      <w:hyperlink r:id="rId26" w:history="1">
        <w:r w:rsidRPr="0099157E">
          <w:rPr>
            <w:rStyle w:val="Hyperlink"/>
            <w:rFonts w:ascii="David" w:hAnsi="David" w:cs="David"/>
            <w:color w:val="auto"/>
            <w:spacing w:val="10"/>
            <w:u w:val="none"/>
            <w:rtl/>
          </w:rPr>
          <w:t>סעיף 13(5)</w:t>
        </w:r>
      </w:hyperlink>
      <w:r w:rsidRPr="0099157E">
        <w:rPr>
          <w:rFonts w:ascii="David" w:hAnsi="David"/>
          <w:spacing w:val="10"/>
          <w:rtl/>
        </w:rPr>
        <w:t xml:space="preserve"> חלה רק על פרסום שנעשה במסגרת הליך שיפוטי והמכוון כלפי מי שהוא </w:t>
      </w:r>
      <w:r w:rsidRPr="0099157E">
        <w:rPr>
          <w:rFonts w:ascii="David" w:hAnsi="David"/>
          <w:b/>
          <w:rtl/>
        </w:rPr>
        <w:t>צד למשפט</w:t>
      </w:r>
      <w:r w:rsidRPr="0099157E">
        <w:rPr>
          <w:rFonts w:ascii="David" w:hAnsi="David"/>
          <w:spacing w:val="10"/>
          <w:rtl/>
        </w:rPr>
        <w:t xml:space="preserve"> כאשר "תנאי לחיסוי שהפרסום אינו נעשה לזרים, כלומר לאנשים שמחוץ למשפט" (</w:t>
      </w:r>
      <w:r w:rsidRPr="0099157E">
        <w:rPr>
          <w:rFonts w:ascii="David" w:hAnsi="David"/>
          <w:b/>
          <w:rtl/>
        </w:rPr>
        <w:t>עניין זיידמן</w:t>
      </w:r>
      <w:r w:rsidRPr="0099157E">
        <w:rPr>
          <w:rFonts w:ascii="David" w:hAnsi="David"/>
          <w:spacing w:val="10"/>
          <w:rtl/>
        </w:rPr>
        <w:t xml:space="preserve">; אורי </w:t>
      </w:r>
      <w:hyperlink r:id="rId27" w:history="1">
        <w:r w:rsidRPr="0099157E">
          <w:rPr>
            <w:rStyle w:val="Hyperlink"/>
            <w:rFonts w:ascii="David" w:hAnsi="David" w:cs="David"/>
            <w:color w:val="auto"/>
            <w:spacing w:val="10"/>
            <w:u w:val="none"/>
            <w:rtl/>
          </w:rPr>
          <w:t>שנהר, דיני לשון הרע</w:t>
        </w:r>
      </w:hyperlink>
      <w:r w:rsidRPr="0099157E">
        <w:rPr>
          <w:rFonts w:ascii="David" w:hAnsi="David"/>
          <w:spacing w:val="10"/>
          <w:rtl/>
        </w:rPr>
        <w:t xml:space="preserve"> 199 (1997)). בענייננו המבקש שלח מכתבים לנמענים שאין להם קשר לסכסוך, ועל-כן אין הוא זכאי לחסות בצלה של ההגנה האמורה. טענת המבקש כי הנמענים היו "עדים פוטנציאליים" ולכן "צד למשפט", לא יכולה להתקבל. אף מבלי להידרש לשאלת תחולת ההגנה על פרסום שנשלח לעדים, ברי כי </w:t>
      </w:r>
      <w:r w:rsidRPr="0099157E">
        <w:rPr>
          <w:rFonts w:ascii="David" w:hAnsi="David"/>
          <w:b/>
          <w:rtl/>
        </w:rPr>
        <w:t>עדים פוטנציאליים</w:t>
      </w:r>
      <w:r w:rsidRPr="0099157E">
        <w:rPr>
          <w:rFonts w:ascii="David" w:hAnsi="David"/>
          <w:spacing w:val="10"/>
          <w:rtl/>
        </w:rPr>
        <w:t xml:space="preserve"> אינם צד למשפט, ולו מהטעם כי בדרך זו ניתן יהיה לפרסם לשון הרע בפני מגוון רחב של נמענים חיצוניים להליך, בטענה כי הם עשויים להיות, בשלב עתידי כלשהו, עדים פוטנציאליים" (פסקה 8). </w:t>
      </w:r>
    </w:p>
    <w:p w:rsidR="00FE17CC" w:rsidRPr="0099157E" w:rsidRDefault="00FE17CC" w:rsidP="00FE17CC">
      <w:pPr>
        <w:tabs>
          <w:tab w:val="left" w:pos="935"/>
        </w:tabs>
        <w:spacing w:line="360" w:lineRule="auto"/>
        <w:ind w:left="935" w:right="851"/>
        <w:jc w:val="both"/>
        <w:rPr>
          <w:spacing w:val="10"/>
          <w:rtl/>
        </w:rPr>
      </w:pPr>
    </w:p>
    <w:p w:rsidR="00FE17CC" w:rsidRPr="0099157E" w:rsidRDefault="00FE17CC" w:rsidP="00FE17CC">
      <w:pPr>
        <w:pStyle w:val="ad"/>
        <w:spacing w:line="360" w:lineRule="auto"/>
        <w:ind w:firstLine="720"/>
        <w:jc w:val="both"/>
        <w:rPr>
          <w:rFonts w:ascii="David" w:hAnsi="David" w:cs="David"/>
          <w:b/>
          <w:bCs/>
          <w:sz w:val="24"/>
          <w:szCs w:val="24"/>
          <w:u w:val="single"/>
        </w:rPr>
      </w:pPr>
      <w:r w:rsidRPr="0099157E">
        <w:rPr>
          <w:rFonts w:ascii="David" w:hAnsi="David" w:cs="David"/>
          <w:b/>
          <w:bCs/>
          <w:sz w:val="24"/>
          <w:szCs w:val="24"/>
          <w:u w:val="single"/>
          <w:rtl/>
        </w:rPr>
        <w:t>סיכום הכללים המשפטיים ותחולתם ביתר שאת בסכסוכי גירושין</w:t>
      </w: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 כפי שראינו, החסינות לפי סע' 13(5) לחוק היא מהותית, דהיינו סייג לאחריות, ובהתקיים תנאיה, לא קמה כלל עוולה. חסינות זו פורשה בהרחבה רבה מאוד על ידי בית המשפט העליון, </w:t>
      </w:r>
      <w:r w:rsidRPr="0099157E">
        <w:rPr>
          <w:rFonts w:hint="cs"/>
          <w:rtl/>
        </w:rPr>
        <w:lastRenderedPageBreak/>
        <w:t>כפורשת כנפיה גם על פרסומים שקריים וזדוניים שנעשו בכוונה לפגוע, וגם כאשר אין בפרסום כדי לשרת את ההליך המשפטי, דהיינו, אין קיימת כל הגבלה תכנית. כמו כן, החסינות חלה על כל שלב משלבי המשפט, וכן היא משתרעת גם על דברים שנמסרו במהלך ההליך המשפטי לגורם מעור</w:t>
      </w:r>
      <w:r w:rsidR="00C65539" w:rsidRPr="0099157E">
        <w:rPr>
          <w:rFonts w:hint="cs"/>
          <w:rtl/>
        </w:rPr>
        <w:t>ב בהליך, דוגמת מומחה או עו"ס לס</w:t>
      </w:r>
      <w:r w:rsidRPr="0099157E">
        <w:rPr>
          <w:rFonts w:hint="cs"/>
          <w:rtl/>
        </w:rPr>
        <w:t>ד</w:t>
      </w:r>
      <w:r w:rsidR="00C65539" w:rsidRPr="0099157E">
        <w:rPr>
          <w:rFonts w:hint="cs"/>
          <w:rtl/>
        </w:rPr>
        <w:t>רי דין</w:t>
      </w:r>
      <w:r w:rsidRPr="0099157E">
        <w:rPr>
          <w:rFonts w:hint="cs"/>
          <w:rtl/>
        </w:rPr>
        <w:t xml:space="preserve"> בהליך משמורת, אפוטרופסות </w:t>
      </w:r>
      <w:proofErr w:type="spellStart"/>
      <w:r w:rsidRPr="0099157E">
        <w:rPr>
          <w:rFonts w:hint="cs"/>
          <w:rtl/>
        </w:rPr>
        <w:t>וכיוצ"ב</w:t>
      </w:r>
      <w:proofErr w:type="spellEnd"/>
      <w:r w:rsidRPr="0099157E">
        <w:rPr>
          <w:rFonts w:hint="cs"/>
          <w:rtl/>
        </w:rPr>
        <w:t xml:space="preserve">. </w:t>
      </w:r>
    </w:p>
    <w:p w:rsidR="00FE17CC" w:rsidRPr="0099157E" w:rsidRDefault="00FE17CC" w:rsidP="00FE17CC">
      <w:pPr>
        <w:pStyle w:val="af"/>
        <w:spacing w:before="240" w:after="240" w:line="360" w:lineRule="auto"/>
        <w:jc w:val="both"/>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רוחב היריעה של החסינות לפי סע' 13(5) לחוק נועד למנוע אפקט מצנן בהליכים משפטיים שתמנע התבטאות חופשית. </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proofErr w:type="spellStart"/>
      <w:r w:rsidRPr="0099157E">
        <w:rPr>
          <w:rFonts w:hint="cs"/>
          <w:rtl/>
        </w:rPr>
        <w:t>סבורתני</w:t>
      </w:r>
      <w:proofErr w:type="spellEnd"/>
      <w:r w:rsidRPr="0099157E">
        <w:rPr>
          <w:rFonts w:hint="cs"/>
          <w:rtl/>
        </w:rPr>
        <w:t xml:space="preserve"> כי לתכלית זו עוצמה יתרה בהליכים משפטיים בין בני משפחה, ובפרט בהליכים בין בני זוג בסכסוכי גירושין. הליכים כאלה ננקטים על פי רוב, סמוך לאחר שנוצר קרע בין בני הזוג ומשבר משפחתי משמעותי, מטבע הדברים, שנוצר לרוב בסמוך לפני או אחרי הפירוד בפועל של בני הזוג. סכסוכים אלה מגיעים לערכאות כסכסוכים חיים, בועטים ופעילים לאורך זמן, במכלול הנושאים הרגישים והחשובים ביותר בחייו של אדם – סוגיית המשמורת על הילדים וזמני השהות עימם; סוגיית החיוב במזונות, על כל הכרוך בה מבחינת ההשפעה הכלכלית המשמעותית על הצדדים, שכעת נדרשים לקיים שני משקי בית נפרדים; והסוגיות </w:t>
      </w:r>
      <w:proofErr w:type="spellStart"/>
      <w:r w:rsidRPr="0099157E">
        <w:rPr>
          <w:rFonts w:hint="cs"/>
          <w:rtl/>
        </w:rPr>
        <w:t>הרכושיות</w:t>
      </w:r>
      <w:proofErr w:type="spellEnd"/>
      <w:r w:rsidRPr="0099157E">
        <w:rPr>
          <w:rFonts w:hint="cs"/>
          <w:rtl/>
        </w:rPr>
        <w:t xml:space="preserve">, בכללן לא אחת פירוק שיתוף בבית הצדדים, שהוא בבחינת החלום ושברו גם יחד, והוא גם לא אחת הנכס המרכזי של שניהם, וזכויות וחובות כספיים שנצברו בתקופת החיים המשותפת. בסכסוכים אלה עולים נושאים אישיים ואינטימיים ביותר שהם בליבת צנעת הפרט, ולא בכדי הדיון בבית המשפט לענייני משפחה ובבית הדין הרבני מתנהלים </w:t>
      </w:r>
      <w:r w:rsidR="00A376EF" w:rsidRPr="0099157E">
        <w:rPr>
          <w:rFonts w:hint="cs"/>
          <w:rtl/>
        </w:rPr>
        <w:t xml:space="preserve">על פי מצוות המחוקק </w:t>
      </w:r>
      <w:r w:rsidRPr="0099157E">
        <w:rPr>
          <w:rFonts w:hint="cs"/>
          <w:rtl/>
        </w:rPr>
        <w:t xml:space="preserve">בדלתיים סגורות ותוך איסור פרסום, וזאת כחריג לכלל פומביות הדיון. </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כמו כן, בניגוד לתביעות שמוגשות לבית משפט אזרחי רגיל, שבו נדרשת לרוב הכרעה בסכסוך שאירע (דוגמת אירוע נזיקי), כשמוגשות תביעות לערכאות העוסקות בתביעות גירושין בין בני זוג, בית המשפט אינו עוסק רק באירוע מהעבר שהסתיים, אלא גם מנהל סכסוך משפחתי פעיל, שהוא בבחינת אירוע מתגלגל לא אחת. בהחלטות הניתנות בהליכים אלה (למשל, בעניין חלוקת זמני שהות בין הקטינים להורים, קביעת החיוב במזונות, מינוי מומחים לסוגיות </w:t>
      </w:r>
      <w:proofErr w:type="spellStart"/>
      <w:r w:rsidRPr="0099157E">
        <w:rPr>
          <w:rFonts w:hint="cs"/>
          <w:rtl/>
        </w:rPr>
        <w:t>רכושיות</w:t>
      </w:r>
      <w:proofErr w:type="spellEnd"/>
      <w:r w:rsidRPr="0099157E">
        <w:rPr>
          <w:rFonts w:hint="cs"/>
          <w:rtl/>
        </w:rPr>
        <w:t xml:space="preserve"> או מתן הוראות אחרות כמו צו לפירוק שיתוף בבית משותף), בית המשפט למעשה מעצב הלכה למעשה את המציאות המשפחתית, האישית, והכלכלית החדשה של הצדדים והקטינים.</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בשל אופיין זה של תביעות גירושין בין בני זוג, אין זה חזיון נדיר כי בלהט היצרים ושברון הלב עקב התפרקות המשפחה והבית, הצדדים כורכים בטענותיהם, למרבה הצער, גם טענות מכפישות ופוגעניות כלפי בני המשפחה של הצד השני, כמו הורים ואחים. זאת, בניסיון להשחיר את הצד השני, ולהציגו כמי שמגיע מרקע משפחתי בעייתי, המסביר לטענתם את אופיו או התנהגותו הבעייתית, והמשליך לטענתם על התנהלותו ומסוגלותו. </w:t>
      </w:r>
    </w:p>
    <w:p w:rsidR="00FE17CC" w:rsidRPr="0099157E" w:rsidRDefault="00FE17CC" w:rsidP="00FE17CC">
      <w:pPr>
        <w:pStyle w:val="af"/>
        <w:jc w:val="both"/>
      </w:pPr>
    </w:p>
    <w:p w:rsidR="00FE17CC" w:rsidRPr="0099157E" w:rsidRDefault="00FE17CC" w:rsidP="00000099">
      <w:pPr>
        <w:pStyle w:val="af"/>
        <w:numPr>
          <w:ilvl w:val="0"/>
          <w:numId w:val="1"/>
        </w:numPr>
        <w:spacing w:before="240" w:after="240" w:line="360" w:lineRule="auto"/>
        <w:jc w:val="both"/>
        <w:rPr>
          <w:rtl/>
        </w:rPr>
      </w:pPr>
      <w:r w:rsidRPr="0099157E">
        <w:rPr>
          <w:rFonts w:hint="cs"/>
          <w:rtl/>
        </w:rPr>
        <w:t xml:space="preserve">נראה כי כך אירע גם במקרה דנן, עת הוגשה התביעה כחודשיים לאחר הפירוד בין הצדדים, והנתבעת שהעלתה טענות קשות בתביעתה נגד </w:t>
      </w:r>
      <w:r w:rsidR="00000099">
        <w:rPr>
          <w:rFonts w:hint="cs"/>
          <w:rtl/>
        </w:rPr>
        <w:t>הגרוש</w:t>
      </w:r>
      <w:r w:rsidRPr="0099157E">
        <w:rPr>
          <w:rFonts w:hint="cs"/>
          <w:rtl/>
        </w:rPr>
        <w:t xml:space="preserve">, לרבות תוך הצגתו כמניפולטיבי, לא ישר, </w:t>
      </w:r>
      <w:proofErr w:type="spellStart"/>
      <w:r w:rsidRPr="0099157E">
        <w:rPr>
          <w:rFonts w:hint="cs"/>
          <w:rtl/>
        </w:rPr>
        <w:t>בוגדן</w:t>
      </w:r>
      <w:proofErr w:type="spellEnd"/>
      <w:r w:rsidRPr="0099157E">
        <w:rPr>
          <w:rFonts w:hint="cs"/>
          <w:rtl/>
        </w:rPr>
        <w:t xml:space="preserve"> ומתחזה, כרכה גם את אביו התובע בסיפור התביעה, תוך שהיא מבקשת לטעון כי אופיו הקשה והגס של התובע, לטענתה, תרם לגיבוש אישיותו הבעייתית הנטענת של </w:t>
      </w:r>
      <w:r w:rsidR="00000099">
        <w:rPr>
          <w:rFonts w:hint="cs"/>
          <w:rtl/>
        </w:rPr>
        <w:t>הגרוש</w:t>
      </w:r>
      <w:r w:rsidRPr="0099157E">
        <w:rPr>
          <w:rFonts w:hint="cs"/>
          <w:rtl/>
        </w:rPr>
        <w:t xml:space="preserve">, וכי בוגדנות </w:t>
      </w:r>
      <w:r w:rsidR="00000099">
        <w:rPr>
          <w:rFonts w:hint="cs"/>
          <w:rtl/>
        </w:rPr>
        <w:t>הגרוש</w:t>
      </w:r>
      <w:r w:rsidRPr="0099157E">
        <w:rPr>
          <w:rFonts w:hint="cs"/>
          <w:rtl/>
        </w:rPr>
        <w:t xml:space="preserve"> בה היא גם תולדה של דפוס התנהגות </w:t>
      </w:r>
      <w:r w:rsidR="00A376EF" w:rsidRPr="0099157E">
        <w:rPr>
          <w:rFonts w:hint="cs"/>
          <w:rtl/>
        </w:rPr>
        <w:t xml:space="preserve">מפורש (באמצעות שימוש במילה "בוגדני") או </w:t>
      </w:r>
      <w:r w:rsidRPr="0099157E">
        <w:rPr>
          <w:rFonts w:hint="cs"/>
          <w:rtl/>
        </w:rPr>
        <w:t>נרמז של התובע אביו (באמצעות תיאור "הבדיחה" שסופרה אודותיו לטענתה כי הוא נוסע ל</w:t>
      </w:r>
      <w:r w:rsidR="00000099">
        <w:rPr>
          <w:rFonts w:hint="cs"/>
          <w:rtl/>
        </w:rPr>
        <w:t>...</w:t>
      </w:r>
      <w:r w:rsidRPr="0099157E">
        <w:rPr>
          <w:rFonts w:hint="cs"/>
          <w:rtl/>
        </w:rPr>
        <w:t xml:space="preserve"> היות והוא מתחזק משפחה שניה שם). ויודגש, אין באמור חלילה משום קביעת ממצא כלשהו לעניין </w:t>
      </w:r>
      <w:r w:rsidR="00000099">
        <w:rPr>
          <w:rFonts w:hint="cs"/>
          <w:rtl/>
        </w:rPr>
        <w:t>הגרוש</w:t>
      </w:r>
      <w:r w:rsidRPr="0099157E">
        <w:rPr>
          <w:rFonts w:hint="cs"/>
          <w:rtl/>
        </w:rPr>
        <w:t xml:space="preserve"> או </w:t>
      </w:r>
      <w:r w:rsidR="00A376EF" w:rsidRPr="0099157E">
        <w:rPr>
          <w:rFonts w:hint="cs"/>
          <w:rtl/>
        </w:rPr>
        <w:t>התובע</w:t>
      </w:r>
      <w:r w:rsidRPr="0099157E">
        <w:rPr>
          <w:rFonts w:hint="cs"/>
          <w:rtl/>
        </w:rPr>
        <w:t>. תשתית לקביעת ממצאים כאלה לא הונחה לפני וגם לא נדרשה כלל, בשל תחולת החסינות המוחלטת לפי סע' 13(5) לחוק, שייתרה הבאת ראיות לעניין זה.</w:t>
      </w:r>
    </w:p>
    <w:p w:rsidR="00FE17CC" w:rsidRPr="0099157E" w:rsidRDefault="00FE17CC" w:rsidP="00FE17CC">
      <w:pPr>
        <w:pStyle w:val="af"/>
        <w:jc w:val="both"/>
      </w:pPr>
    </w:p>
    <w:p w:rsidR="00FE17CC" w:rsidRPr="0099157E" w:rsidRDefault="00FE17CC" w:rsidP="00A376EF">
      <w:pPr>
        <w:pStyle w:val="af"/>
        <w:numPr>
          <w:ilvl w:val="0"/>
          <w:numId w:val="1"/>
        </w:numPr>
        <w:spacing w:before="240" w:after="240" w:line="360" w:lineRule="auto"/>
        <w:jc w:val="both"/>
        <w:rPr>
          <w:rtl/>
        </w:rPr>
      </w:pPr>
      <w:r w:rsidRPr="0099157E">
        <w:rPr>
          <w:rFonts w:hint="cs"/>
          <w:rtl/>
        </w:rPr>
        <w:t xml:space="preserve">אין להבין מכך שמצב דברים זה הוא מצב רצוי. נהפוך הוא. מדובר במציאות בלתי רצויה שבה כתבי הטענות והטענות באולם בית המשפט סובלים </w:t>
      </w:r>
      <w:proofErr w:type="spellStart"/>
      <w:r w:rsidRPr="0099157E">
        <w:rPr>
          <w:rFonts w:hint="cs"/>
          <w:rtl/>
        </w:rPr>
        <w:t>הכל</w:t>
      </w:r>
      <w:proofErr w:type="spellEnd"/>
      <w:r w:rsidRPr="0099157E">
        <w:rPr>
          <w:rFonts w:hint="cs"/>
          <w:rtl/>
        </w:rPr>
        <w:t xml:space="preserve">, ונשאבים לתוכם גם בני משפחה, הגם שאינם צד להליך. יתר על כן, מציאות זו אף עלולה להזיק, שכן </w:t>
      </w:r>
      <w:r w:rsidR="00A376EF" w:rsidRPr="0099157E">
        <w:rPr>
          <w:rFonts w:hint="cs"/>
          <w:rtl/>
        </w:rPr>
        <w:t>היא</w:t>
      </w:r>
      <w:r w:rsidRPr="0099157E">
        <w:rPr>
          <w:rFonts w:hint="cs"/>
          <w:rtl/>
        </w:rPr>
        <w:t xml:space="preserve"> יוצרת אדוות סכסוך במעגל משפחתי רחב, ועלולה לחבל בקשר בין הקטינים ילדי בני הזוג לבין בני משפחה של ההורה השני. אלא שהתפרשות החסינות לפי סע' 13(5) גם על פרסומים כאלה היא בבחינת הדין המצוי, בהתאם לכוונת המחוקק כפי שפורשה בפסיקה.</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לצד האמור, וכפי שראינו, הפסיקה הציבה גדר לחסינות המוחלטת והרחבה שבסעיף 13(5) לחוק, בכך שנקבע כי היא לא משתרעת על פרסום לזרים להליך, דהיינו פרסום למי שאינו צד בהליך ואינו גורם בתיק (כמו מומחה או עו"ס לסדרי דין). </w:t>
      </w:r>
    </w:p>
    <w:p w:rsidR="00FE17CC" w:rsidRPr="0099157E" w:rsidRDefault="00FE17CC" w:rsidP="00FE17CC">
      <w:pPr>
        <w:pStyle w:val="af"/>
        <w:spacing w:before="240" w:after="240" w:line="360" w:lineRule="auto"/>
        <w:jc w:val="both"/>
      </w:pPr>
    </w:p>
    <w:p w:rsidR="00FE17CC" w:rsidRPr="0099157E" w:rsidRDefault="00FE17CC" w:rsidP="00FE17CC">
      <w:pPr>
        <w:pStyle w:val="af"/>
        <w:spacing w:before="240" w:after="240" w:line="360" w:lineRule="auto"/>
        <w:jc w:val="both"/>
        <w:rPr>
          <w:b/>
          <w:bCs/>
          <w:u w:val="single"/>
          <w:rtl/>
        </w:rPr>
      </w:pPr>
      <w:r w:rsidRPr="0099157E">
        <w:rPr>
          <w:rFonts w:hint="cs"/>
          <w:b/>
          <w:bCs/>
          <w:u w:val="single"/>
          <w:rtl/>
        </w:rPr>
        <w:t>יישום הכללים בענייננו</w:t>
      </w:r>
    </w:p>
    <w:p w:rsidR="00FE17CC" w:rsidRPr="0099157E" w:rsidRDefault="00FE17CC" w:rsidP="00FE17CC">
      <w:pPr>
        <w:pStyle w:val="af"/>
        <w:spacing w:before="240" w:after="240" w:line="360" w:lineRule="auto"/>
        <w:jc w:val="both"/>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לנוכח פסיקתו של בית המשפט העליון, כמתואר לעיל, אין כל צורך להכריע בשאלה העובדתית האם הדברים שנכתבו על ידי הנתבעת </w:t>
      </w:r>
      <w:proofErr w:type="spellStart"/>
      <w:r w:rsidRPr="0099157E">
        <w:rPr>
          <w:rFonts w:hint="cs"/>
          <w:rtl/>
        </w:rPr>
        <w:t>בסע</w:t>
      </w:r>
      <w:proofErr w:type="spellEnd"/>
      <w:r w:rsidRPr="0099157E">
        <w:rPr>
          <w:rFonts w:hint="cs"/>
          <w:rtl/>
        </w:rPr>
        <w:t>' 5 לתביעתה ביחס לתובע אמת הם אם לאו, והאם הדברים נכתבו בזדון ובמטרה לפגוע או בתום לב, אם לאו. אין גם כל צורך להכריע בשאלה האם האמור בתביעתה ביחס לתובע נדרש לכאורה לקידום ענייני של ההליך בין הנתבעת ל</w:t>
      </w:r>
      <w:r w:rsidR="00000099">
        <w:rPr>
          <w:rFonts w:hint="cs"/>
          <w:rtl/>
        </w:rPr>
        <w:t>גרוש</w:t>
      </w:r>
      <w:r w:rsidRPr="0099157E">
        <w:rPr>
          <w:rFonts w:hint="cs"/>
          <w:rtl/>
        </w:rPr>
        <w:t xml:space="preserve">, אם לאו. כל זאת, משום שגם בהנחה שהדברים שנכתבו אודות התובע </w:t>
      </w:r>
      <w:proofErr w:type="spellStart"/>
      <w:r w:rsidRPr="0099157E">
        <w:rPr>
          <w:rFonts w:hint="cs"/>
          <w:rtl/>
        </w:rPr>
        <w:t>בסע</w:t>
      </w:r>
      <w:proofErr w:type="spellEnd"/>
      <w:r w:rsidRPr="0099157E">
        <w:rPr>
          <w:rFonts w:hint="cs"/>
          <w:rtl/>
        </w:rPr>
        <w:t xml:space="preserve">' 5 לתביעת הנתבעת בבית הדין היו שקריים לחלוטין, זדוניים, ונכתבו במטרה לפגוע, וגם אם לא </w:t>
      </w:r>
      <w:proofErr w:type="spellStart"/>
      <w:r w:rsidRPr="0099157E">
        <w:rPr>
          <w:rFonts w:hint="cs"/>
          <w:rtl/>
        </w:rPr>
        <w:t>היתה</w:t>
      </w:r>
      <w:proofErr w:type="spellEnd"/>
      <w:r w:rsidRPr="0099157E">
        <w:rPr>
          <w:rFonts w:hint="cs"/>
          <w:rtl/>
        </w:rPr>
        <w:t xml:space="preserve"> להם תרומה כלשהי להליך המשפטי, והגם שהתובע אינו צד להליך, הרי שאין בכך בלבד כדי להוציא את הפרסום מגדר תחולת החסינות לפי סע' 13(5) לחוק. </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lastRenderedPageBreak/>
        <w:t>השאלה שנותרה להכרעה בהקשר דנן היא השאלה האם משלוח התביעה בדואר רשום ל</w:t>
      </w:r>
      <w:r w:rsidR="00000099">
        <w:rPr>
          <w:rFonts w:hint="cs"/>
          <w:rtl/>
        </w:rPr>
        <w:t>גרוש</w:t>
      </w:r>
      <w:r w:rsidRPr="0099157E">
        <w:rPr>
          <w:rFonts w:hint="cs"/>
          <w:rtl/>
        </w:rPr>
        <w:t xml:space="preserve"> לכתובת מגורי הוריו, מהווה פרסום לזרים להליך, אשר ככזה, יש בו כדי להפקיע את תחולת החסינות לפי סע' 13(5) לחוק מהפרסום דנן. </w:t>
      </w:r>
    </w:p>
    <w:p w:rsidR="00FE17CC" w:rsidRPr="0099157E" w:rsidRDefault="00FE17CC" w:rsidP="00FE17CC">
      <w:pPr>
        <w:pStyle w:val="af"/>
        <w:jc w:val="both"/>
      </w:pPr>
    </w:p>
    <w:p w:rsidR="00FE17CC" w:rsidRPr="0099157E" w:rsidRDefault="00FE17CC" w:rsidP="00FE17CC">
      <w:pPr>
        <w:pStyle w:val="af"/>
        <w:spacing w:before="240" w:after="240" w:line="360" w:lineRule="auto"/>
        <w:jc w:val="both"/>
        <w:rPr>
          <w:rtl/>
        </w:rPr>
      </w:pPr>
    </w:p>
    <w:p w:rsidR="00FE17CC" w:rsidRPr="0099157E" w:rsidRDefault="00FE17CC" w:rsidP="00FE17CC">
      <w:pPr>
        <w:pStyle w:val="af"/>
        <w:numPr>
          <w:ilvl w:val="0"/>
          <w:numId w:val="1"/>
        </w:numPr>
        <w:spacing w:before="240" w:after="240" w:line="360" w:lineRule="auto"/>
        <w:jc w:val="both"/>
      </w:pPr>
      <w:r w:rsidRPr="0099157E">
        <w:rPr>
          <w:rFonts w:hint="cs"/>
          <w:rtl/>
        </w:rPr>
        <w:t>אני סבורה כי התשובה לכך שלילית.</w:t>
      </w:r>
    </w:p>
    <w:p w:rsidR="00FE17CC" w:rsidRPr="0099157E" w:rsidRDefault="00FE17CC" w:rsidP="00FE17CC">
      <w:pPr>
        <w:pStyle w:val="af"/>
        <w:jc w:val="both"/>
      </w:pPr>
    </w:p>
    <w:p w:rsidR="00FE17CC" w:rsidRPr="0099157E" w:rsidRDefault="00FE17CC" w:rsidP="00A40627">
      <w:pPr>
        <w:pStyle w:val="af"/>
        <w:numPr>
          <w:ilvl w:val="0"/>
          <w:numId w:val="1"/>
        </w:numPr>
        <w:spacing w:line="360" w:lineRule="auto"/>
        <w:jc w:val="both"/>
        <w:rPr>
          <w:rtl/>
        </w:rPr>
      </w:pPr>
      <w:r w:rsidRPr="0099157E">
        <w:rPr>
          <w:rFonts w:hint="cs"/>
          <w:rtl/>
        </w:rPr>
        <w:t xml:space="preserve">תביעת הנתבעת נגד </w:t>
      </w:r>
      <w:r w:rsidR="00000099">
        <w:rPr>
          <w:rFonts w:hint="cs"/>
          <w:rtl/>
        </w:rPr>
        <w:t>הגרוש</w:t>
      </w:r>
      <w:r w:rsidRPr="0099157E">
        <w:rPr>
          <w:rFonts w:hint="cs"/>
          <w:rtl/>
        </w:rPr>
        <w:t xml:space="preserve"> אמנם נשלחה לכתובת מגורי התובע ורעייתו, שם לא גר </w:t>
      </w:r>
      <w:r w:rsidR="00000099">
        <w:rPr>
          <w:rFonts w:hint="cs"/>
          <w:rtl/>
        </w:rPr>
        <w:t>הגרוש</w:t>
      </w:r>
      <w:r w:rsidRPr="0099157E">
        <w:rPr>
          <w:rFonts w:hint="cs"/>
          <w:rtl/>
        </w:rPr>
        <w:t xml:space="preserve"> באותה עת כעניין שבעובדה. </w:t>
      </w:r>
      <w:r w:rsidR="00000099">
        <w:rPr>
          <w:rFonts w:hint="cs"/>
          <w:rtl/>
        </w:rPr>
        <w:t>הגרוש</w:t>
      </w:r>
      <w:r w:rsidRPr="0099157E">
        <w:rPr>
          <w:rFonts w:hint="cs"/>
          <w:rtl/>
        </w:rPr>
        <w:t xml:space="preserve"> שכר דירה בישוב </w:t>
      </w:r>
      <w:r w:rsidR="00000099">
        <w:rPr>
          <w:rFonts w:hint="cs"/>
        </w:rPr>
        <w:t>A</w:t>
      </w:r>
      <w:r w:rsidRPr="0099157E">
        <w:rPr>
          <w:rFonts w:hint="cs"/>
          <w:rtl/>
        </w:rPr>
        <w:t xml:space="preserve"> החל מיום 6.8.2</w:t>
      </w:r>
      <w:r w:rsidR="00A40627">
        <w:rPr>
          <w:rFonts w:hint="cs"/>
          <w:rtl/>
        </w:rPr>
        <w:t>3</w:t>
      </w:r>
      <w:r w:rsidRPr="0099157E">
        <w:rPr>
          <w:rFonts w:hint="cs"/>
          <w:rtl/>
        </w:rPr>
        <w:t xml:space="preserve"> (הסכם השכירות צורף כ</w:t>
      </w:r>
      <w:r w:rsidRPr="0099157E">
        <w:rPr>
          <w:rFonts w:hint="cs"/>
          <w:b/>
          <w:bCs/>
          <w:u w:val="single"/>
          <w:rtl/>
        </w:rPr>
        <w:t>מוצג ת/4</w:t>
      </w:r>
      <w:r w:rsidRPr="0099157E">
        <w:rPr>
          <w:rFonts w:hint="cs"/>
          <w:rtl/>
        </w:rPr>
        <w:t xml:space="preserve">). יתר על כן, כפי שמסר </w:t>
      </w:r>
      <w:r w:rsidR="00000099">
        <w:rPr>
          <w:rFonts w:hint="cs"/>
          <w:rtl/>
        </w:rPr>
        <w:t>הגרוש</w:t>
      </w:r>
      <w:r w:rsidRPr="0099157E">
        <w:rPr>
          <w:rFonts w:hint="cs"/>
          <w:rtl/>
        </w:rPr>
        <w:t xml:space="preserve"> במענה לשאלות בית המשפט, החל ממועד שכירת הדירה ב</w:t>
      </w:r>
      <w:r w:rsidR="00000099">
        <w:rPr>
          <w:rFonts w:hint="cs"/>
          <w:rtl/>
        </w:rPr>
        <w:t>-</w:t>
      </w:r>
      <w:r w:rsidR="00000099">
        <w:rPr>
          <w:rFonts w:hint="cs"/>
        </w:rPr>
        <w:t>A</w:t>
      </w:r>
      <w:r w:rsidRPr="0099157E">
        <w:rPr>
          <w:rFonts w:hint="cs"/>
          <w:rtl/>
        </w:rPr>
        <w:t xml:space="preserve"> ועד שהוא נקרא לשירות מילואים בצו 8 ב</w:t>
      </w:r>
      <w:r w:rsidR="00000C20" w:rsidRPr="0099157E">
        <w:rPr>
          <w:rFonts w:hint="cs"/>
          <w:rtl/>
        </w:rPr>
        <w:t>יום 7.10.23</w:t>
      </w:r>
      <w:r w:rsidRPr="0099157E">
        <w:rPr>
          <w:rFonts w:hint="cs"/>
          <w:rtl/>
        </w:rPr>
        <w:t>, הוא קיים זמני שהות עם הקטינים, ילדיו וילדי הנתבעת, בדירתו ב</w:t>
      </w:r>
      <w:r w:rsidR="00000099">
        <w:rPr>
          <w:rFonts w:hint="cs"/>
          <w:rtl/>
        </w:rPr>
        <w:t>-</w:t>
      </w:r>
      <w:r w:rsidR="00000099">
        <w:rPr>
          <w:rFonts w:hint="cs"/>
        </w:rPr>
        <w:t>A</w:t>
      </w:r>
      <w:r w:rsidRPr="0099157E">
        <w:rPr>
          <w:rFonts w:hint="cs"/>
          <w:rtl/>
        </w:rPr>
        <w:t xml:space="preserve"> (עדותו בעמ' 26,  </w:t>
      </w:r>
      <w:proofErr w:type="spellStart"/>
      <w:r w:rsidRPr="0099157E">
        <w:rPr>
          <w:rFonts w:hint="cs"/>
          <w:rtl/>
        </w:rPr>
        <w:t>בש</w:t>
      </w:r>
      <w:proofErr w:type="spellEnd"/>
      <w:r w:rsidRPr="0099157E">
        <w:rPr>
          <w:rFonts w:hint="cs"/>
          <w:rtl/>
        </w:rPr>
        <w:t xml:space="preserve">' 20-1). הנתבעת אישרה בעדותה לפניי ואף היא במענה לשאלותיי עובדה זו (עדותה בעמ' 45, </w:t>
      </w:r>
      <w:proofErr w:type="spellStart"/>
      <w:r w:rsidRPr="0099157E">
        <w:rPr>
          <w:rFonts w:hint="cs"/>
          <w:rtl/>
        </w:rPr>
        <w:t>בש</w:t>
      </w:r>
      <w:proofErr w:type="spellEnd"/>
      <w:r w:rsidRPr="0099157E">
        <w:rPr>
          <w:rFonts w:hint="cs"/>
          <w:rtl/>
        </w:rPr>
        <w:t xml:space="preserve">' 45-31). מכאן שהיא ידעה שהוא גר בדירה שכורה. מהתכתבות </w:t>
      </w:r>
      <w:proofErr w:type="spellStart"/>
      <w:r w:rsidRPr="0099157E">
        <w:rPr>
          <w:rFonts w:hint="cs"/>
          <w:rtl/>
        </w:rPr>
        <w:t>בוואטסאפ</w:t>
      </w:r>
      <w:proofErr w:type="spellEnd"/>
      <w:r w:rsidRPr="0099157E">
        <w:rPr>
          <w:rFonts w:hint="cs"/>
          <w:rtl/>
        </w:rPr>
        <w:t xml:space="preserve"> בינה לבין </w:t>
      </w:r>
      <w:r w:rsidR="00000099">
        <w:rPr>
          <w:rFonts w:hint="cs"/>
          <w:rtl/>
        </w:rPr>
        <w:t>הגרוש</w:t>
      </w:r>
      <w:r w:rsidRPr="0099157E">
        <w:rPr>
          <w:rFonts w:hint="cs"/>
          <w:rtl/>
        </w:rPr>
        <w:t xml:space="preserve"> מיום 6.9.2</w:t>
      </w:r>
      <w:r w:rsidR="00000C20" w:rsidRPr="0099157E">
        <w:rPr>
          <w:rFonts w:hint="cs"/>
          <w:rtl/>
        </w:rPr>
        <w:t>3</w:t>
      </w:r>
      <w:r w:rsidRPr="0099157E">
        <w:rPr>
          <w:rFonts w:hint="cs"/>
          <w:rtl/>
        </w:rPr>
        <w:t xml:space="preserve">, למעלה מחודש לפני המועד שבו נחשפו התובע ורעייתו לפרסום, עולה כי </w:t>
      </w:r>
      <w:r w:rsidR="00000099">
        <w:rPr>
          <w:rFonts w:hint="cs"/>
          <w:rtl/>
        </w:rPr>
        <w:t>הגרוש</w:t>
      </w:r>
      <w:r w:rsidRPr="0099157E">
        <w:rPr>
          <w:rFonts w:hint="cs"/>
          <w:rtl/>
        </w:rPr>
        <w:t xml:space="preserve"> אף כתב לה כי כתובתו היא "</w:t>
      </w:r>
      <w:r w:rsidR="00000099">
        <w:rPr>
          <w:rFonts w:hint="cs"/>
          <w:rtl/>
        </w:rPr>
        <w:t>...</w:t>
      </w:r>
      <w:r w:rsidRPr="0099157E">
        <w:rPr>
          <w:rFonts w:hint="cs"/>
          <w:rtl/>
        </w:rPr>
        <w:t xml:space="preserve"> </w:t>
      </w:r>
      <w:r w:rsidR="00000099">
        <w:rPr>
          <w:rFonts w:hint="cs"/>
        </w:rPr>
        <w:t>A</w:t>
      </w:r>
      <w:r w:rsidRPr="0099157E">
        <w:rPr>
          <w:rFonts w:hint="cs"/>
          <w:rtl/>
        </w:rPr>
        <w:t xml:space="preserve">" (מוצג </w:t>
      </w:r>
      <w:r w:rsidRPr="0099157E">
        <w:rPr>
          <w:rFonts w:hint="cs"/>
          <w:b/>
          <w:bCs/>
          <w:u w:val="single"/>
          <w:rtl/>
        </w:rPr>
        <w:t>ת/7</w:t>
      </w:r>
      <w:r w:rsidRPr="0099157E">
        <w:rPr>
          <w:rFonts w:hint="cs"/>
          <w:rtl/>
        </w:rPr>
        <w:t xml:space="preserve">). </w:t>
      </w:r>
    </w:p>
    <w:p w:rsidR="00FE17CC" w:rsidRPr="0099157E" w:rsidRDefault="00FE17CC" w:rsidP="00FE17CC">
      <w:pPr>
        <w:pStyle w:val="af"/>
        <w:jc w:val="both"/>
      </w:pPr>
    </w:p>
    <w:p w:rsidR="00FE17CC" w:rsidRPr="0099157E" w:rsidRDefault="00FE17CC" w:rsidP="00FE17CC">
      <w:pPr>
        <w:jc w:val="both"/>
        <w:rPr>
          <w:rtl/>
        </w:rPr>
      </w:pPr>
    </w:p>
    <w:p w:rsidR="00FE17CC" w:rsidRPr="0099157E" w:rsidRDefault="00FE17CC" w:rsidP="00FE17CC">
      <w:pPr>
        <w:pStyle w:val="af"/>
        <w:numPr>
          <w:ilvl w:val="0"/>
          <w:numId w:val="1"/>
        </w:numPr>
        <w:spacing w:line="360" w:lineRule="auto"/>
        <w:jc w:val="both"/>
        <w:rPr>
          <w:rtl/>
        </w:rPr>
      </w:pPr>
      <w:r w:rsidRPr="0099157E">
        <w:rPr>
          <w:rFonts w:hint="cs"/>
          <w:rtl/>
        </w:rPr>
        <w:t xml:space="preserve">ברם, טענת התובע כי הנתבעת היא זו שעמדה מאחורי משלוח דבר הדואר הרשום לכתובת מגורי התובע בכוונה כי התובע ורעייתו יחשפו לפרסום, והדבר יפגע בתובע ויביא לשבר מול אשתו – נדחית. לא מצאתי כל תימוכין ראייתיים לטענה זו. </w:t>
      </w:r>
    </w:p>
    <w:p w:rsidR="00FE17CC" w:rsidRPr="0099157E" w:rsidRDefault="00FE17CC" w:rsidP="00FE17CC">
      <w:pPr>
        <w:pStyle w:val="af"/>
        <w:spacing w:line="360" w:lineRule="auto"/>
        <w:jc w:val="both"/>
      </w:pPr>
    </w:p>
    <w:p w:rsidR="00FE17CC" w:rsidRPr="0099157E" w:rsidRDefault="00FE17CC" w:rsidP="00000099">
      <w:pPr>
        <w:pStyle w:val="af"/>
        <w:numPr>
          <w:ilvl w:val="0"/>
          <w:numId w:val="1"/>
        </w:numPr>
        <w:spacing w:line="360" w:lineRule="auto"/>
        <w:jc w:val="both"/>
      </w:pPr>
      <w:r w:rsidRPr="0099157E">
        <w:rPr>
          <w:rFonts w:hint="cs"/>
          <w:rtl/>
        </w:rPr>
        <w:t>שוכנעתי מדברי הנתבעת בעדותה לפני, כי לא התקיים שיח בינה לעורך הדין, שמייצגה בהליך הגירושין, בנוגע לכתובת המסירה ל</w:t>
      </w:r>
      <w:r w:rsidR="00000099">
        <w:rPr>
          <w:rFonts w:hint="cs"/>
          <w:rtl/>
        </w:rPr>
        <w:t>גרוש</w:t>
      </w:r>
      <w:r w:rsidRPr="0099157E">
        <w:rPr>
          <w:rFonts w:hint="cs"/>
          <w:rtl/>
        </w:rPr>
        <w:t xml:space="preserve"> וכי היא אף לא התבקשה למסור לו כל כתובת למסירה ל</w:t>
      </w:r>
      <w:r w:rsidR="00000099">
        <w:rPr>
          <w:rFonts w:hint="cs"/>
          <w:rtl/>
        </w:rPr>
        <w:t>גרוש</w:t>
      </w:r>
      <w:r w:rsidRPr="0099157E">
        <w:rPr>
          <w:rFonts w:hint="cs"/>
          <w:rtl/>
        </w:rPr>
        <w:t xml:space="preserve">, וכי התובע לא היה אמור כלל </w:t>
      </w:r>
      <w:proofErr w:type="spellStart"/>
      <w:r w:rsidRPr="0099157E">
        <w:rPr>
          <w:rFonts w:hint="cs"/>
          <w:rtl/>
        </w:rPr>
        <w:t>להחשף</w:t>
      </w:r>
      <w:proofErr w:type="spellEnd"/>
      <w:r w:rsidRPr="0099157E">
        <w:rPr>
          <w:rFonts w:hint="cs"/>
          <w:rtl/>
        </w:rPr>
        <w:t xml:space="preserve"> לפרסום מבחינתה. שוכנעתי מדבריה כי משלוח תביעתה לכתובת מגורי התובע ורעייתו, היה פרי בחירה והחלטה של עורך הדין, שלו בלבד, ולא שלה (עדותה בעמ' 46 וכן עמ'  47 למעלה, וכן ראו דבריה בעמ' 56 למעלה ובעמ' 57 </w:t>
      </w:r>
      <w:proofErr w:type="spellStart"/>
      <w:r w:rsidRPr="0099157E">
        <w:rPr>
          <w:rFonts w:hint="cs"/>
          <w:rtl/>
        </w:rPr>
        <w:t>בש</w:t>
      </w:r>
      <w:proofErr w:type="spellEnd"/>
      <w:r w:rsidRPr="0099157E">
        <w:rPr>
          <w:rFonts w:hint="cs"/>
          <w:rtl/>
        </w:rPr>
        <w:t>' 17</w:t>
      </w:r>
      <w:r w:rsidR="00000C20" w:rsidRPr="0099157E">
        <w:rPr>
          <w:rFonts w:hint="cs"/>
          <w:rtl/>
        </w:rPr>
        <w:t xml:space="preserve">-20, ולבסוף בעמ' 59, </w:t>
      </w:r>
      <w:proofErr w:type="spellStart"/>
      <w:r w:rsidR="00000C20" w:rsidRPr="0099157E">
        <w:rPr>
          <w:rFonts w:hint="cs"/>
          <w:rtl/>
        </w:rPr>
        <w:t>בש</w:t>
      </w:r>
      <w:proofErr w:type="spellEnd"/>
      <w:r w:rsidR="00000C20" w:rsidRPr="0099157E">
        <w:rPr>
          <w:rFonts w:hint="cs"/>
          <w:rtl/>
        </w:rPr>
        <w:t>' 20-17). זאת,</w:t>
      </w:r>
      <w:r w:rsidRPr="0099157E">
        <w:rPr>
          <w:rFonts w:hint="cs"/>
          <w:rtl/>
        </w:rPr>
        <w:t xml:space="preserve"> אף כי אין חולק שהתאפשר לה לעיין בכתב התביעה, כולל ציון כתובתו של </w:t>
      </w:r>
      <w:r w:rsidR="00000099">
        <w:rPr>
          <w:rFonts w:hint="cs"/>
          <w:rtl/>
        </w:rPr>
        <w:t>הגרוש</w:t>
      </w:r>
      <w:r w:rsidRPr="0099157E">
        <w:rPr>
          <w:rFonts w:hint="cs"/>
          <w:rtl/>
        </w:rPr>
        <w:t xml:space="preserve"> בכותרתה, </w:t>
      </w:r>
      <w:proofErr w:type="spellStart"/>
      <w:r w:rsidRPr="0099157E">
        <w:rPr>
          <w:rFonts w:hint="cs"/>
          <w:rtl/>
        </w:rPr>
        <w:t>שהיתה</w:t>
      </w:r>
      <w:proofErr w:type="spellEnd"/>
      <w:r w:rsidRPr="0099157E">
        <w:rPr>
          <w:rFonts w:hint="cs"/>
          <w:rtl/>
        </w:rPr>
        <w:t xml:space="preserve"> הכתובת רח' </w:t>
      </w:r>
      <w:r w:rsidR="00000099">
        <w:rPr>
          <w:rFonts w:hint="cs"/>
          <w:rtl/>
        </w:rPr>
        <w:t>...</w:t>
      </w:r>
      <w:r w:rsidRPr="0099157E">
        <w:rPr>
          <w:rFonts w:hint="cs"/>
          <w:rtl/>
        </w:rPr>
        <w:t xml:space="preserve"> ב</w:t>
      </w:r>
      <w:r w:rsidR="00000099">
        <w:rPr>
          <w:rFonts w:hint="cs"/>
        </w:rPr>
        <w:t>B</w:t>
      </w:r>
      <w:r w:rsidR="00000099">
        <w:t>-</w:t>
      </w:r>
      <w:r w:rsidRPr="0099157E">
        <w:rPr>
          <w:rFonts w:hint="cs"/>
          <w:rtl/>
        </w:rPr>
        <w:t>, בטרם הגישה עורך הדין לבית הדין הרבני, אם כי לדבריה, שאני מקבלת אותם כמהימנים, היא לא התעמקה בנושא הכתובת  (עדותה בעמ' 55). גרסה זו מסתברת שכן ביצוע מסירה של כתב יד-דין מטופל על ידי עורך הדין ברגיל ולא על ידי בעל הדין לקוחו, ואין סיבה להניח אחרת במקרה דנן.</w:t>
      </w:r>
    </w:p>
    <w:p w:rsidR="00FE17CC" w:rsidRPr="0099157E" w:rsidRDefault="00FE17CC" w:rsidP="00FE17CC">
      <w:pPr>
        <w:pStyle w:val="af"/>
        <w:spacing w:line="360" w:lineRule="auto"/>
        <w:jc w:val="both"/>
      </w:pPr>
    </w:p>
    <w:p w:rsidR="00FE17CC" w:rsidRPr="0099157E" w:rsidRDefault="00FE17CC" w:rsidP="00000C20">
      <w:pPr>
        <w:pStyle w:val="af"/>
        <w:numPr>
          <w:ilvl w:val="0"/>
          <w:numId w:val="1"/>
        </w:numPr>
        <w:spacing w:line="360" w:lineRule="auto"/>
        <w:jc w:val="both"/>
      </w:pPr>
      <w:r w:rsidRPr="0099157E">
        <w:rPr>
          <w:rFonts w:hint="cs"/>
          <w:rtl/>
        </w:rPr>
        <w:t xml:space="preserve">מכל מקום, ואפילו </w:t>
      </w:r>
      <w:proofErr w:type="spellStart"/>
      <w:r w:rsidRPr="0099157E">
        <w:rPr>
          <w:rFonts w:hint="cs"/>
          <w:rtl/>
        </w:rPr>
        <w:t>היתה</w:t>
      </w:r>
      <w:proofErr w:type="spellEnd"/>
      <w:r w:rsidRPr="0099157E">
        <w:rPr>
          <w:rFonts w:hint="cs"/>
          <w:rtl/>
        </w:rPr>
        <w:t xml:space="preserve"> תשתית לטענה כי הנתבעת </w:t>
      </w:r>
      <w:proofErr w:type="spellStart"/>
      <w:r w:rsidR="00000C20" w:rsidRPr="0099157E">
        <w:rPr>
          <w:rFonts w:hint="cs"/>
          <w:rtl/>
        </w:rPr>
        <w:t>היתה</w:t>
      </w:r>
      <w:proofErr w:type="spellEnd"/>
      <w:r w:rsidR="00000C20" w:rsidRPr="0099157E">
        <w:rPr>
          <w:rFonts w:hint="cs"/>
          <w:rtl/>
        </w:rPr>
        <w:t xml:space="preserve"> שותפה ל</w:t>
      </w:r>
      <w:r w:rsidRPr="0099157E">
        <w:rPr>
          <w:rFonts w:hint="cs"/>
          <w:rtl/>
        </w:rPr>
        <w:t xml:space="preserve">החלטה לשלוח את תביעתה לכתובת מגורי התובע ורעייתן, אני סבורה כי משלוח כתב התביעה לכתובת זו היה </w:t>
      </w:r>
      <w:r w:rsidRPr="0099157E">
        <w:rPr>
          <w:rFonts w:hint="cs"/>
          <w:rtl/>
        </w:rPr>
        <w:lastRenderedPageBreak/>
        <w:t>תולדה של</w:t>
      </w:r>
      <w:r w:rsidR="00000C20" w:rsidRPr="0099157E">
        <w:rPr>
          <w:rFonts w:hint="cs"/>
          <w:rtl/>
        </w:rPr>
        <w:t xml:space="preserve"> החלטה סבירה, ולכל היותר, </w:t>
      </w:r>
      <w:r w:rsidRPr="0099157E">
        <w:rPr>
          <w:rFonts w:hint="cs"/>
          <w:rtl/>
        </w:rPr>
        <w:t xml:space="preserve">של טעות סבירה וכנה בנסיבות המקרה, גם אם התוצאה המצערת מאוד </w:t>
      </w:r>
      <w:proofErr w:type="spellStart"/>
      <w:r w:rsidRPr="0099157E">
        <w:rPr>
          <w:rFonts w:hint="cs"/>
          <w:rtl/>
        </w:rPr>
        <w:t>היתה</w:t>
      </w:r>
      <w:proofErr w:type="spellEnd"/>
      <w:r w:rsidRPr="0099157E">
        <w:rPr>
          <w:rFonts w:hint="cs"/>
          <w:rtl/>
        </w:rPr>
        <w:t xml:space="preserve"> שהתובע ורעייתו נחשפו לדברים. ואבאר. </w:t>
      </w:r>
    </w:p>
    <w:p w:rsidR="00FE17CC" w:rsidRPr="0099157E" w:rsidRDefault="00FE17CC" w:rsidP="00FE17CC">
      <w:pPr>
        <w:pStyle w:val="af"/>
        <w:jc w:val="both"/>
      </w:pPr>
    </w:p>
    <w:p w:rsidR="00FE17CC" w:rsidRPr="0099157E" w:rsidRDefault="00000099" w:rsidP="00D40CC1">
      <w:pPr>
        <w:pStyle w:val="af"/>
        <w:numPr>
          <w:ilvl w:val="0"/>
          <w:numId w:val="1"/>
        </w:numPr>
        <w:spacing w:line="360" w:lineRule="auto"/>
        <w:jc w:val="both"/>
        <w:rPr>
          <w:rtl/>
        </w:rPr>
      </w:pPr>
      <w:r>
        <w:rPr>
          <w:rFonts w:hint="cs"/>
          <w:rtl/>
        </w:rPr>
        <w:t>הגרוש</w:t>
      </w:r>
      <w:r w:rsidR="00FE17CC" w:rsidRPr="0099157E">
        <w:rPr>
          <w:rFonts w:hint="cs"/>
          <w:rtl/>
        </w:rPr>
        <w:t xml:space="preserve"> בעצמו ציין את כתובת מגורי הוריו – רח' </w:t>
      </w:r>
      <w:r>
        <w:rPr>
          <w:rFonts w:hint="cs"/>
          <w:rtl/>
        </w:rPr>
        <w:t>...</w:t>
      </w:r>
      <w:r w:rsidR="00FE17CC" w:rsidRPr="0099157E">
        <w:rPr>
          <w:rFonts w:hint="cs"/>
          <w:rtl/>
        </w:rPr>
        <w:t xml:space="preserve"> 15 ב</w:t>
      </w:r>
      <w:r>
        <w:rPr>
          <w:rFonts w:hint="cs"/>
          <w:rtl/>
        </w:rPr>
        <w:t>-</w:t>
      </w:r>
      <w:r>
        <w:rPr>
          <w:rFonts w:hint="cs"/>
        </w:rPr>
        <w:t>B</w:t>
      </w:r>
      <w:r w:rsidR="00FE17CC" w:rsidRPr="0099157E">
        <w:rPr>
          <w:rFonts w:hint="cs"/>
          <w:rtl/>
        </w:rPr>
        <w:t xml:space="preserve"> - ככתובת מגוריו בבקשה לישוב סכסוך שהוא מילא בכתב ידו והגיש ביום 30.7.23 ליד בית המשפט לענייני משפחה ב</w:t>
      </w:r>
      <w:r>
        <w:rPr>
          <w:rFonts w:hint="cs"/>
          <w:rtl/>
        </w:rPr>
        <w:t>...</w:t>
      </w:r>
      <w:r w:rsidR="00FE17CC" w:rsidRPr="0099157E">
        <w:rPr>
          <w:rFonts w:hint="cs"/>
          <w:rtl/>
        </w:rPr>
        <w:t xml:space="preserve"> (ראו עדות </w:t>
      </w:r>
      <w:r>
        <w:rPr>
          <w:rFonts w:hint="cs"/>
          <w:rtl/>
        </w:rPr>
        <w:t>הגרוש</w:t>
      </w:r>
      <w:r w:rsidR="00FE17CC" w:rsidRPr="0099157E">
        <w:rPr>
          <w:rFonts w:hint="cs"/>
          <w:rtl/>
        </w:rPr>
        <w:t xml:space="preserve"> בעמ' 27-28; הבקשה הוגשה כ</w:t>
      </w:r>
      <w:r w:rsidR="00FE17CC" w:rsidRPr="0099157E">
        <w:rPr>
          <w:rFonts w:hint="cs"/>
          <w:b/>
          <w:bCs/>
          <w:u w:val="single"/>
          <w:rtl/>
        </w:rPr>
        <w:t>מוצג נ/5</w:t>
      </w:r>
      <w:r w:rsidR="00FE17CC" w:rsidRPr="0099157E">
        <w:rPr>
          <w:rFonts w:hint="cs"/>
          <w:rtl/>
        </w:rPr>
        <w:t xml:space="preserve">). עקב כך, בתגובתה של הנתבעת לבקשה לסעד דחוף שהגיש </w:t>
      </w:r>
      <w:r>
        <w:rPr>
          <w:rFonts w:hint="cs"/>
          <w:rtl/>
        </w:rPr>
        <w:t>הגרוש</w:t>
      </w:r>
      <w:r w:rsidR="00FE17CC" w:rsidRPr="0099157E">
        <w:rPr>
          <w:rFonts w:hint="cs"/>
          <w:rtl/>
        </w:rPr>
        <w:t xml:space="preserve"> לבית המשפט לענייני משפחה ב</w:t>
      </w:r>
      <w:r w:rsidR="00D40CC1">
        <w:rPr>
          <w:rFonts w:hint="cs"/>
          <w:rtl/>
        </w:rPr>
        <w:t>...</w:t>
      </w:r>
      <w:r w:rsidR="00FE17CC" w:rsidRPr="0099157E">
        <w:rPr>
          <w:rFonts w:hint="cs"/>
          <w:rtl/>
        </w:rPr>
        <w:t xml:space="preserve">, בהתאם להחלטה מיום 7.8.23 של בית המשפט, אף היא ציינה את כתובת המגורים של </w:t>
      </w:r>
      <w:r>
        <w:rPr>
          <w:rFonts w:hint="cs"/>
          <w:rtl/>
        </w:rPr>
        <w:t>הגרוש</w:t>
      </w:r>
      <w:r w:rsidR="00FE17CC" w:rsidRPr="0099157E">
        <w:rPr>
          <w:rFonts w:hint="cs"/>
          <w:rtl/>
        </w:rPr>
        <w:t xml:space="preserve"> כרחוב </w:t>
      </w:r>
      <w:r w:rsidR="000320EA">
        <w:rPr>
          <w:rFonts w:hint="cs"/>
          <w:rtl/>
        </w:rPr>
        <w:t>...</w:t>
      </w:r>
      <w:r w:rsidR="00FE17CC" w:rsidRPr="0099157E">
        <w:rPr>
          <w:rFonts w:hint="cs"/>
          <w:rtl/>
        </w:rPr>
        <w:t xml:space="preserve"> ב</w:t>
      </w:r>
      <w:r w:rsidR="000320EA">
        <w:rPr>
          <w:rFonts w:hint="cs"/>
          <w:rtl/>
        </w:rPr>
        <w:t>-</w:t>
      </w:r>
      <w:r>
        <w:rPr>
          <w:rFonts w:hint="cs"/>
        </w:rPr>
        <w:t>B</w:t>
      </w:r>
      <w:r w:rsidR="00FE17CC" w:rsidRPr="0099157E">
        <w:rPr>
          <w:rFonts w:hint="cs"/>
          <w:rtl/>
        </w:rPr>
        <w:t xml:space="preserve"> (התגובה צורפה כ</w:t>
      </w:r>
      <w:r w:rsidR="00FE17CC" w:rsidRPr="0099157E">
        <w:rPr>
          <w:rFonts w:hint="cs"/>
          <w:b/>
          <w:bCs/>
          <w:u w:val="single"/>
          <w:rtl/>
        </w:rPr>
        <w:t>מוצג נ/4</w:t>
      </w:r>
      <w:r w:rsidR="00FE17CC" w:rsidRPr="0099157E">
        <w:rPr>
          <w:rFonts w:hint="cs"/>
          <w:rtl/>
        </w:rPr>
        <w:t>) (</w:t>
      </w:r>
      <w:proofErr w:type="spellStart"/>
      <w:r w:rsidR="00FE17CC" w:rsidRPr="0099157E">
        <w:rPr>
          <w:rFonts w:hint="cs"/>
          <w:rtl/>
        </w:rPr>
        <w:t>יצויין</w:t>
      </w:r>
      <w:proofErr w:type="spellEnd"/>
      <w:r w:rsidR="00FE17CC" w:rsidRPr="0099157E">
        <w:rPr>
          <w:rFonts w:hint="cs"/>
          <w:rtl/>
        </w:rPr>
        <w:t xml:space="preserve"> כי הכתובת בבקשה לישוב סכסוך ובתגובה הנ"ל </w:t>
      </w:r>
      <w:proofErr w:type="spellStart"/>
      <w:r w:rsidR="00FE17CC" w:rsidRPr="0099157E">
        <w:rPr>
          <w:rFonts w:hint="cs"/>
          <w:rtl/>
        </w:rPr>
        <w:t>היתה</w:t>
      </w:r>
      <w:proofErr w:type="spellEnd"/>
      <w:r w:rsidR="00FE17CC" w:rsidRPr="0099157E">
        <w:rPr>
          <w:rFonts w:hint="cs"/>
          <w:rtl/>
        </w:rPr>
        <w:t xml:space="preserve"> רח' </w:t>
      </w:r>
      <w:r w:rsidR="000320EA">
        <w:rPr>
          <w:rFonts w:hint="cs"/>
          <w:rtl/>
        </w:rPr>
        <w:t>...</w:t>
      </w:r>
      <w:r w:rsidR="00FE17CC" w:rsidRPr="0099157E">
        <w:rPr>
          <w:rFonts w:hint="cs"/>
          <w:rtl/>
        </w:rPr>
        <w:t xml:space="preserve"> 6 </w:t>
      </w:r>
      <w:r>
        <w:rPr>
          <w:rFonts w:hint="cs"/>
        </w:rPr>
        <w:t>B</w:t>
      </w:r>
      <w:r w:rsidR="00D40CC1">
        <w:rPr>
          <w:rFonts w:hint="cs"/>
          <w:rtl/>
        </w:rPr>
        <w:t>, בעוד שהתובע ורעייתו גרים ברח'</w:t>
      </w:r>
      <w:r w:rsidR="000320EA">
        <w:rPr>
          <w:rFonts w:hint="cs"/>
          <w:rtl/>
        </w:rPr>
        <w:t>...</w:t>
      </w:r>
      <w:r w:rsidR="00FE17CC" w:rsidRPr="0099157E">
        <w:rPr>
          <w:rFonts w:hint="cs"/>
          <w:rtl/>
        </w:rPr>
        <w:t xml:space="preserve"> 15 ב</w:t>
      </w:r>
      <w:r>
        <w:rPr>
          <w:rFonts w:hint="cs"/>
        </w:rPr>
        <w:t>B</w:t>
      </w:r>
      <w:r w:rsidR="0012127A">
        <w:t>-</w:t>
      </w:r>
      <w:r w:rsidR="00FE17CC" w:rsidRPr="0099157E">
        <w:rPr>
          <w:rFonts w:hint="cs"/>
          <w:rtl/>
        </w:rPr>
        <w:t xml:space="preserve">, אך בכך אין כדי להעלות או להוריד, שכן לא </w:t>
      </w:r>
      <w:proofErr w:type="spellStart"/>
      <w:r w:rsidR="00FE17CC" w:rsidRPr="0099157E">
        <w:rPr>
          <w:rFonts w:hint="cs"/>
          <w:rtl/>
        </w:rPr>
        <w:t>היתה</w:t>
      </w:r>
      <w:proofErr w:type="spellEnd"/>
      <w:r w:rsidR="00FE17CC" w:rsidRPr="0099157E">
        <w:rPr>
          <w:rFonts w:hint="cs"/>
          <w:rtl/>
        </w:rPr>
        <w:t xml:space="preserve"> מחלוקת כי דברי דואר שמוענו לרח' </w:t>
      </w:r>
      <w:r w:rsidR="000320EA">
        <w:rPr>
          <w:rFonts w:hint="cs"/>
          <w:rtl/>
        </w:rPr>
        <w:t>...</w:t>
      </w:r>
      <w:r w:rsidR="00FE17CC" w:rsidRPr="0099157E">
        <w:rPr>
          <w:rFonts w:hint="cs"/>
          <w:rtl/>
        </w:rPr>
        <w:t xml:space="preserve"> 6 ב</w:t>
      </w:r>
      <w:r w:rsidR="000320EA">
        <w:rPr>
          <w:rFonts w:hint="cs"/>
          <w:rtl/>
        </w:rPr>
        <w:t>-</w:t>
      </w:r>
      <w:r>
        <w:rPr>
          <w:rFonts w:hint="cs"/>
        </w:rPr>
        <w:t>B</w:t>
      </w:r>
      <w:r w:rsidR="00FE17CC" w:rsidRPr="0099157E">
        <w:rPr>
          <w:rFonts w:hint="cs"/>
          <w:rtl/>
        </w:rPr>
        <w:t xml:space="preserve">, זוהו על ידי רשות הדואר כמכוונים לכתובת של התובע ורעייתו ברח' </w:t>
      </w:r>
      <w:r w:rsidR="000320EA">
        <w:rPr>
          <w:rFonts w:hint="cs"/>
          <w:rtl/>
        </w:rPr>
        <w:t>...</w:t>
      </w:r>
      <w:r w:rsidR="00FE17CC" w:rsidRPr="0099157E">
        <w:rPr>
          <w:rFonts w:hint="cs"/>
          <w:rtl/>
        </w:rPr>
        <w:t xml:space="preserve"> 15 ב</w:t>
      </w:r>
      <w:r w:rsidR="000320EA">
        <w:rPr>
          <w:rFonts w:hint="cs"/>
          <w:rtl/>
        </w:rPr>
        <w:t>-</w:t>
      </w:r>
      <w:r>
        <w:rPr>
          <w:rFonts w:hint="cs"/>
        </w:rPr>
        <w:t>B</w:t>
      </w:r>
      <w:r w:rsidR="00FE17CC" w:rsidRPr="0099157E">
        <w:rPr>
          <w:rFonts w:hint="cs"/>
          <w:rtl/>
        </w:rPr>
        <w:t xml:space="preserve"> – ראו עדות הנתבעת בעמ'  51, </w:t>
      </w:r>
      <w:proofErr w:type="spellStart"/>
      <w:r w:rsidR="00FE17CC" w:rsidRPr="0099157E">
        <w:rPr>
          <w:rFonts w:hint="cs"/>
          <w:rtl/>
        </w:rPr>
        <w:t>בש</w:t>
      </w:r>
      <w:proofErr w:type="spellEnd"/>
      <w:r w:rsidR="00FE17CC" w:rsidRPr="0099157E">
        <w:rPr>
          <w:rFonts w:hint="cs"/>
          <w:rtl/>
        </w:rPr>
        <w:t xml:space="preserve">' 36,-18 ועדות  </w:t>
      </w:r>
      <w:r>
        <w:rPr>
          <w:rFonts w:hint="cs"/>
          <w:rtl/>
        </w:rPr>
        <w:t>הגרוש</w:t>
      </w:r>
      <w:r w:rsidR="00FE17CC" w:rsidRPr="0099157E">
        <w:rPr>
          <w:rFonts w:hint="cs"/>
          <w:rtl/>
        </w:rPr>
        <w:t xml:space="preserve"> בעמ' 23).  </w:t>
      </w:r>
    </w:p>
    <w:p w:rsidR="00FE17CC" w:rsidRPr="0099157E" w:rsidRDefault="00FE17CC" w:rsidP="00FE17CC">
      <w:pPr>
        <w:pStyle w:val="af"/>
        <w:jc w:val="both"/>
      </w:pPr>
    </w:p>
    <w:p w:rsidR="00FE17CC" w:rsidRPr="0099157E" w:rsidRDefault="00FE17CC" w:rsidP="00D40CC1">
      <w:pPr>
        <w:pStyle w:val="af"/>
        <w:numPr>
          <w:ilvl w:val="0"/>
          <w:numId w:val="1"/>
        </w:numPr>
        <w:spacing w:line="360" w:lineRule="auto"/>
        <w:jc w:val="both"/>
        <w:rPr>
          <w:rtl/>
        </w:rPr>
      </w:pPr>
      <w:r w:rsidRPr="0099157E">
        <w:rPr>
          <w:rFonts w:hint="cs"/>
          <w:rtl/>
        </w:rPr>
        <w:t xml:space="preserve">בבקשה לישוב סכסוך שהוגשה  ליחידת הסיוע שליד בית הדין הרבני מטעם הנתבעת ביום 2.8.23, צוינה כתובת מגורי </w:t>
      </w:r>
      <w:r w:rsidR="00000099">
        <w:rPr>
          <w:rFonts w:hint="cs"/>
          <w:rtl/>
        </w:rPr>
        <w:t>הגרוש</w:t>
      </w:r>
      <w:r w:rsidRPr="0099157E">
        <w:rPr>
          <w:rFonts w:hint="cs"/>
          <w:rtl/>
        </w:rPr>
        <w:t xml:space="preserve"> כרחוב </w:t>
      </w:r>
      <w:r w:rsidR="000320EA">
        <w:rPr>
          <w:rFonts w:hint="cs"/>
          <w:rtl/>
        </w:rPr>
        <w:t>...</w:t>
      </w:r>
      <w:r w:rsidRPr="0099157E">
        <w:rPr>
          <w:rFonts w:hint="cs"/>
          <w:rtl/>
        </w:rPr>
        <w:t xml:space="preserve"> ב</w:t>
      </w:r>
      <w:r w:rsidR="00000099">
        <w:rPr>
          <w:rFonts w:hint="cs"/>
        </w:rPr>
        <w:t>C</w:t>
      </w:r>
      <w:r w:rsidR="000320EA">
        <w:t>-</w:t>
      </w:r>
      <w:r w:rsidRPr="0099157E">
        <w:rPr>
          <w:rFonts w:hint="cs"/>
          <w:rtl/>
        </w:rPr>
        <w:t xml:space="preserve"> (</w:t>
      </w:r>
      <w:r w:rsidRPr="0099157E">
        <w:rPr>
          <w:rFonts w:hint="cs"/>
          <w:b/>
          <w:bCs/>
          <w:u w:val="single"/>
          <w:rtl/>
        </w:rPr>
        <w:t>מוצג ת/5</w:t>
      </w:r>
      <w:r w:rsidRPr="0099157E">
        <w:rPr>
          <w:rFonts w:hint="cs"/>
          <w:rtl/>
        </w:rPr>
        <w:t>), שהיא כתובת בית הנתבעת ו</w:t>
      </w:r>
      <w:r w:rsidR="00000099">
        <w:rPr>
          <w:rFonts w:hint="cs"/>
          <w:rtl/>
        </w:rPr>
        <w:t>הגרוש</w:t>
      </w:r>
      <w:r w:rsidRPr="0099157E">
        <w:rPr>
          <w:rFonts w:hint="cs"/>
          <w:rtl/>
        </w:rPr>
        <w:t xml:space="preserve"> בתקופת חייהם המשותפת, הגם שכמה ימים לפני כן</w:t>
      </w:r>
      <w:r w:rsidR="00000C20" w:rsidRPr="0099157E">
        <w:rPr>
          <w:rFonts w:hint="cs"/>
          <w:rtl/>
        </w:rPr>
        <w:t>,</w:t>
      </w:r>
      <w:r w:rsidRPr="0099157E">
        <w:rPr>
          <w:rFonts w:hint="cs"/>
          <w:rtl/>
        </w:rPr>
        <w:t xml:space="preserve"> </w:t>
      </w:r>
      <w:r w:rsidR="00000099">
        <w:rPr>
          <w:rFonts w:hint="cs"/>
          <w:rtl/>
        </w:rPr>
        <w:t>הגרוש</w:t>
      </w:r>
      <w:r w:rsidRPr="0099157E">
        <w:rPr>
          <w:rFonts w:hint="cs"/>
          <w:rtl/>
        </w:rPr>
        <w:t xml:space="preserve"> כבר עזב את בית מגורי הצדדים (בשבוע הראשון בחודש אוגוסט 2023, </w:t>
      </w:r>
      <w:r w:rsidR="00000099">
        <w:rPr>
          <w:rFonts w:hint="cs"/>
          <w:rtl/>
        </w:rPr>
        <w:t>הגרוש</w:t>
      </w:r>
      <w:r w:rsidRPr="0099157E">
        <w:rPr>
          <w:rFonts w:hint="cs"/>
          <w:rtl/>
        </w:rPr>
        <w:t xml:space="preserve"> גר בבית אחיו, לפי עדותו בעמ' 15). בעדותה של הנתבעת לפניי הוברר כי כתב היד בבקשה זו הוא של עורך הדין שמייצגה בסכסוך הגירושין, ולטענתה, גם החתימה במקום המיועד לחתימת מגיש הבקשה אינה שלה (עמ'  61-62). יצוין כי בית המשפט ביקש מהנתבעת בעקבות דבריה לחתום את חתימתה על דף ריק והיא אכן עשתה כן והמסמך סומן כ</w:t>
      </w:r>
      <w:r w:rsidRPr="0099157E">
        <w:rPr>
          <w:rFonts w:hint="cs"/>
          <w:b/>
          <w:bCs/>
          <w:u w:val="single"/>
          <w:rtl/>
        </w:rPr>
        <w:t xml:space="preserve">בימ"ש/1 </w:t>
      </w:r>
      <w:r w:rsidRPr="0099157E">
        <w:rPr>
          <w:rFonts w:hint="cs"/>
          <w:rtl/>
        </w:rPr>
        <w:t xml:space="preserve">(ראו עמ' 62 למעלה; המוצג נסרק לתיק על ידי המזכירות ביום 8.7.24). חתימתה לפני דומה מאוד על פניה לחתימה על </w:t>
      </w:r>
      <w:proofErr w:type="spellStart"/>
      <w:r w:rsidRPr="0099157E">
        <w:rPr>
          <w:rFonts w:hint="cs"/>
          <w:rtl/>
        </w:rPr>
        <w:t>יפוי</w:t>
      </w:r>
      <w:proofErr w:type="spellEnd"/>
      <w:r w:rsidRPr="0099157E">
        <w:rPr>
          <w:rFonts w:hint="cs"/>
          <w:rtl/>
        </w:rPr>
        <w:t xml:space="preserve"> הכוח שהוגש לתיק ביום מטעם בא כוחה ביום 31.12.2</w:t>
      </w:r>
      <w:r w:rsidR="00D40CC1">
        <w:rPr>
          <w:rFonts w:hint="cs"/>
          <w:rtl/>
        </w:rPr>
        <w:t>3</w:t>
      </w:r>
      <w:r w:rsidRPr="0099157E">
        <w:rPr>
          <w:rFonts w:hint="cs"/>
          <w:rtl/>
        </w:rPr>
        <w:t xml:space="preserve"> בהליך דנן, והיא שונה מהחתימה שעל גבי הבקשה האמורה לישוב סכסוך. עובדה זו מלמדת כי עורך הדין הוא זה שראה לבחור את כתובת מגורי </w:t>
      </w:r>
      <w:r w:rsidR="00000099">
        <w:rPr>
          <w:rFonts w:hint="cs"/>
          <w:rtl/>
        </w:rPr>
        <w:t>הגרוש</w:t>
      </w:r>
      <w:r w:rsidRPr="0099157E">
        <w:rPr>
          <w:rFonts w:hint="cs"/>
          <w:rtl/>
        </w:rPr>
        <w:t xml:space="preserve"> בכתבי בי דין.</w:t>
      </w:r>
    </w:p>
    <w:p w:rsidR="00FE17CC" w:rsidRPr="0099157E" w:rsidRDefault="00FE17CC" w:rsidP="00FE17CC">
      <w:pPr>
        <w:pStyle w:val="af"/>
        <w:jc w:val="both"/>
      </w:pPr>
    </w:p>
    <w:p w:rsidR="00FE17CC" w:rsidRPr="0099157E" w:rsidRDefault="00FE17CC" w:rsidP="000320EA">
      <w:pPr>
        <w:pStyle w:val="af"/>
        <w:numPr>
          <w:ilvl w:val="0"/>
          <w:numId w:val="1"/>
        </w:numPr>
        <w:spacing w:line="360" w:lineRule="auto"/>
        <w:jc w:val="both"/>
        <w:rPr>
          <w:rtl/>
        </w:rPr>
      </w:pPr>
      <w:r w:rsidRPr="0099157E">
        <w:rPr>
          <w:rFonts w:hint="cs"/>
          <w:rtl/>
        </w:rPr>
        <w:t xml:space="preserve">יצוין עוד כי </w:t>
      </w:r>
      <w:r w:rsidR="00000099">
        <w:rPr>
          <w:rFonts w:hint="cs"/>
          <w:rtl/>
        </w:rPr>
        <w:t>הגרוש</w:t>
      </w:r>
      <w:r w:rsidRPr="0099157E">
        <w:rPr>
          <w:rFonts w:hint="cs"/>
          <w:rtl/>
        </w:rPr>
        <w:t xml:space="preserve"> לא שינה את כתובת מגוריו במשרד הפנים ונכון למועד 4.12.23, כחודש וחצי לאח</w:t>
      </w:r>
      <w:r w:rsidR="00000C20" w:rsidRPr="0099157E">
        <w:rPr>
          <w:rFonts w:hint="cs"/>
          <w:rtl/>
        </w:rPr>
        <w:t>ר שהתובע ורעייתו התוודעו לפרסום,</w:t>
      </w:r>
      <w:r w:rsidRPr="0099157E">
        <w:rPr>
          <w:rFonts w:hint="cs"/>
          <w:rtl/>
        </w:rPr>
        <w:t xml:space="preserve"> עת ניתנה תשובת משרד הפנים לשאילתה בעניין, כתובת מגוריו צוינה כ"רח' </w:t>
      </w:r>
      <w:r w:rsidR="000320EA">
        <w:rPr>
          <w:rFonts w:hint="cs"/>
          <w:rtl/>
        </w:rPr>
        <w:t>...</w:t>
      </w:r>
      <w:r w:rsidRPr="0099157E">
        <w:rPr>
          <w:rFonts w:hint="cs"/>
          <w:rtl/>
        </w:rPr>
        <w:t xml:space="preserve">, דירה 1, </w:t>
      </w:r>
      <w:r w:rsidR="00000099">
        <w:rPr>
          <w:rFonts w:hint="cs"/>
        </w:rPr>
        <w:t>C</w:t>
      </w:r>
      <w:r w:rsidRPr="0099157E">
        <w:rPr>
          <w:rFonts w:hint="cs"/>
          <w:rtl/>
        </w:rPr>
        <w:t>..." (</w:t>
      </w:r>
      <w:r w:rsidRPr="0099157E">
        <w:rPr>
          <w:rFonts w:hint="cs"/>
          <w:b/>
          <w:bCs/>
          <w:u w:val="single"/>
          <w:rtl/>
        </w:rPr>
        <w:t>מוצג נ/1</w:t>
      </w:r>
      <w:r w:rsidRPr="0099157E">
        <w:rPr>
          <w:rFonts w:hint="cs"/>
          <w:rtl/>
        </w:rPr>
        <w:t xml:space="preserve">). אין חולק כי כתובת זו היא כתובת מקום מגוריהם האחרון המשותף של הצדדים, וכי החל מאמצע אוגוסט 2023 הבית הושכר </w:t>
      </w:r>
      <w:proofErr w:type="spellStart"/>
      <w:r w:rsidRPr="0099157E">
        <w:rPr>
          <w:rFonts w:hint="cs"/>
          <w:rtl/>
        </w:rPr>
        <w:t>לצ"ג</w:t>
      </w:r>
      <w:proofErr w:type="spellEnd"/>
      <w:r w:rsidRPr="0099157E">
        <w:rPr>
          <w:rFonts w:hint="cs"/>
          <w:rtl/>
        </w:rPr>
        <w:t xml:space="preserve">. </w:t>
      </w:r>
    </w:p>
    <w:p w:rsidR="00FE17CC" w:rsidRPr="0099157E" w:rsidRDefault="00FE17CC" w:rsidP="00FE17CC">
      <w:pPr>
        <w:pStyle w:val="af"/>
        <w:jc w:val="both"/>
      </w:pPr>
    </w:p>
    <w:p w:rsidR="00FE17CC" w:rsidRPr="0099157E" w:rsidRDefault="00FE17CC" w:rsidP="00B03826">
      <w:pPr>
        <w:pStyle w:val="af"/>
        <w:numPr>
          <w:ilvl w:val="0"/>
          <w:numId w:val="1"/>
        </w:numPr>
        <w:spacing w:line="360" w:lineRule="auto"/>
        <w:jc w:val="both"/>
        <w:rPr>
          <w:rtl/>
        </w:rPr>
      </w:pPr>
      <w:r w:rsidRPr="0099157E">
        <w:rPr>
          <w:rFonts w:hint="cs"/>
          <w:rtl/>
        </w:rPr>
        <w:t>בתעודת הגירושין של הנתבעת ו</w:t>
      </w:r>
      <w:r w:rsidR="00000099">
        <w:rPr>
          <w:rFonts w:hint="cs"/>
          <w:rtl/>
        </w:rPr>
        <w:t>הגרוש</w:t>
      </w:r>
      <w:r w:rsidRPr="0099157E">
        <w:rPr>
          <w:rFonts w:hint="cs"/>
          <w:rtl/>
        </w:rPr>
        <w:t xml:space="preserve"> מיום 14.2.24 נכתב כי כתובת מגוריו של </w:t>
      </w:r>
      <w:r w:rsidR="00000099">
        <w:rPr>
          <w:rFonts w:hint="cs"/>
          <w:rtl/>
        </w:rPr>
        <w:t>הגרוש</w:t>
      </w:r>
      <w:r w:rsidRPr="0099157E">
        <w:rPr>
          <w:rFonts w:hint="cs"/>
          <w:rtl/>
        </w:rPr>
        <w:t xml:space="preserve"> הוא ברחוב </w:t>
      </w:r>
      <w:r w:rsidR="000320EA">
        <w:rPr>
          <w:rFonts w:hint="cs"/>
          <w:rtl/>
        </w:rPr>
        <w:t>...</w:t>
      </w:r>
      <w:r w:rsidRPr="0099157E">
        <w:rPr>
          <w:rFonts w:hint="cs"/>
          <w:rtl/>
        </w:rPr>
        <w:t xml:space="preserve"> 6 ב</w:t>
      </w:r>
      <w:r w:rsidR="000320EA">
        <w:rPr>
          <w:rFonts w:hint="cs"/>
          <w:rtl/>
        </w:rPr>
        <w:t>-</w:t>
      </w:r>
      <w:r w:rsidR="00000099">
        <w:rPr>
          <w:rFonts w:hint="cs"/>
        </w:rPr>
        <w:t>B</w:t>
      </w:r>
      <w:r w:rsidRPr="0099157E">
        <w:rPr>
          <w:rFonts w:hint="cs"/>
          <w:rtl/>
        </w:rPr>
        <w:t xml:space="preserve"> (</w:t>
      </w:r>
      <w:r w:rsidRPr="0099157E">
        <w:rPr>
          <w:rFonts w:hint="cs"/>
          <w:b/>
          <w:bCs/>
          <w:u w:val="single"/>
          <w:rtl/>
        </w:rPr>
        <w:t>מוצג נ/2</w:t>
      </w:r>
      <w:r w:rsidRPr="0099157E">
        <w:rPr>
          <w:rFonts w:hint="cs"/>
          <w:rtl/>
        </w:rPr>
        <w:t xml:space="preserve">). הנתבעת העידה כי כתובתו נרשמה מפי </w:t>
      </w:r>
      <w:r w:rsidR="00000099">
        <w:rPr>
          <w:rFonts w:hint="cs"/>
          <w:rtl/>
        </w:rPr>
        <w:t>הגרוש</w:t>
      </w:r>
      <w:r w:rsidRPr="0099157E">
        <w:rPr>
          <w:rFonts w:hint="cs"/>
          <w:rtl/>
        </w:rPr>
        <w:t xml:space="preserve"> (עדותה בעמ' 51 </w:t>
      </w:r>
      <w:proofErr w:type="spellStart"/>
      <w:r w:rsidRPr="0099157E">
        <w:rPr>
          <w:rFonts w:hint="cs"/>
          <w:rtl/>
        </w:rPr>
        <w:lastRenderedPageBreak/>
        <w:t>בש</w:t>
      </w:r>
      <w:proofErr w:type="spellEnd"/>
      <w:r w:rsidRPr="0099157E">
        <w:rPr>
          <w:rFonts w:hint="cs"/>
          <w:rtl/>
        </w:rPr>
        <w:t xml:space="preserve">' 8-6), וגם </w:t>
      </w:r>
      <w:r w:rsidR="00000099">
        <w:rPr>
          <w:rFonts w:hint="cs"/>
          <w:rtl/>
        </w:rPr>
        <w:t>הגרוש</w:t>
      </w:r>
      <w:r w:rsidRPr="0099157E">
        <w:rPr>
          <w:rFonts w:hint="cs"/>
          <w:rtl/>
        </w:rPr>
        <w:t xml:space="preserve"> אישר בעדותו לפני כי הדברים נאמרו מפיו (עדותו בעמ'  25 </w:t>
      </w:r>
      <w:proofErr w:type="spellStart"/>
      <w:r w:rsidRPr="0099157E">
        <w:rPr>
          <w:rFonts w:hint="cs"/>
          <w:rtl/>
        </w:rPr>
        <w:t>בש</w:t>
      </w:r>
      <w:proofErr w:type="spellEnd"/>
      <w:r w:rsidRPr="0099157E">
        <w:rPr>
          <w:rFonts w:hint="cs"/>
          <w:rtl/>
        </w:rPr>
        <w:t xml:space="preserve">'  29-23, אם כי הוא טוען כי מסר את הכתובת רח' </w:t>
      </w:r>
      <w:r w:rsidR="00B03826">
        <w:rPr>
          <w:rFonts w:hint="cs"/>
          <w:rtl/>
        </w:rPr>
        <w:t>...</w:t>
      </w:r>
      <w:r w:rsidRPr="0099157E">
        <w:rPr>
          <w:rFonts w:hint="cs"/>
          <w:rtl/>
        </w:rPr>
        <w:t xml:space="preserve"> 15 ב</w:t>
      </w:r>
      <w:r w:rsidR="00B03826">
        <w:rPr>
          <w:rFonts w:hint="cs"/>
          <w:rtl/>
        </w:rPr>
        <w:t>-</w:t>
      </w:r>
      <w:r w:rsidR="00000099">
        <w:rPr>
          <w:rFonts w:hint="cs"/>
        </w:rPr>
        <w:t>B</w:t>
      </w:r>
      <w:r w:rsidRPr="0099157E">
        <w:rPr>
          <w:rFonts w:hint="cs"/>
          <w:rtl/>
        </w:rPr>
        <w:t xml:space="preserve">, ולא </w:t>
      </w:r>
      <w:r w:rsidR="00B03826">
        <w:rPr>
          <w:rFonts w:hint="cs"/>
          <w:rtl/>
        </w:rPr>
        <w:t>...</w:t>
      </w:r>
      <w:r w:rsidRPr="0099157E">
        <w:rPr>
          <w:rFonts w:hint="cs"/>
          <w:rtl/>
        </w:rPr>
        <w:t xml:space="preserve"> 6 ב</w:t>
      </w:r>
      <w:r w:rsidR="0012127A">
        <w:rPr>
          <w:rFonts w:hint="cs"/>
          <w:rtl/>
        </w:rPr>
        <w:t>-</w:t>
      </w:r>
      <w:r w:rsidR="00000099">
        <w:rPr>
          <w:rFonts w:hint="cs"/>
        </w:rPr>
        <w:t>B</w:t>
      </w:r>
      <w:r w:rsidRPr="0099157E">
        <w:rPr>
          <w:rFonts w:hint="cs"/>
          <w:rtl/>
        </w:rPr>
        <w:t xml:space="preserve">).  </w:t>
      </w:r>
    </w:p>
    <w:p w:rsidR="00FE17CC" w:rsidRPr="0099157E" w:rsidRDefault="00FE17CC" w:rsidP="00FE17CC">
      <w:pPr>
        <w:pStyle w:val="af"/>
        <w:jc w:val="both"/>
      </w:pPr>
    </w:p>
    <w:p w:rsidR="00FE17CC" w:rsidRPr="0099157E" w:rsidRDefault="00FE17CC" w:rsidP="00FE17CC">
      <w:pPr>
        <w:pStyle w:val="af"/>
        <w:numPr>
          <w:ilvl w:val="0"/>
          <w:numId w:val="1"/>
        </w:numPr>
        <w:spacing w:line="360" w:lineRule="auto"/>
        <w:jc w:val="both"/>
        <w:rPr>
          <w:rtl/>
        </w:rPr>
      </w:pPr>
      <w:r w:rsidRPr="0099157E">
        <w:rPr>
          <w:rFonts w:hint="cs"/>
          <w:rtl/>
        </w:rPr>
        <w:t>הנה כי כן, הגם ש</w:t>
      </w:r>
      <w:r w:rsidR="00000099">
        <w:rPr>
          <w:rFonts w:hint="cs"/>
          <w:rtl/>
        </w:rPr>
        <w:t>הגרוש</w:t>
      </w:r>
      <w:r w:rsidRPr="0099157E">
        <w:rPr>
          <w:rFonts w:hint="cs"/>
          <w:rtl/>
        </w:rPr>
        <w:t xml:space="preserve"> שכר דירה בישוב </w:t>
      </w:r>
      <w:r w:rsidR="00000099">
        <w:rPr>
          <w:rFonts w:hint="cs"/>
        </w:rPr>
        <w:t>A</w:t>
      </w:r>
      <w:r w:rsidRPr="0099157E">
        <w:rPr>
          <w:rFonts w:hint="cs"/>
          <w:rtl/>
        </w:rPr>
        <w:t xml:space="preserve"> החל מיום 6.8.23, הוא לא שינה את כתובת מגוריו בהתאם במשרד הפנים, וכמו כן, היה רישום של כתובת מגורי הוריו ככתובת מגוריו במסמכים שונים, לרבות בתעודת הגירושין מיום 14.2.24, שבה צוינה כתובת זו מפיו, וכל זאת, במועד המאוחר בכ-4 חודשים מהמועד שבו התובע ורעייתו נחשפו לפרסום. </w:t>
      </w:r>
    </w:p>
    <w:p w:rsidR="00FE17CC" w:rsidRPr="0099157E" w:rsidRDefault="00FE17CC" w:rsidP="00FE17CC">
      <w:pPr>
        <w:pStyle w:val="af"/>
        <w:jc w:val="both"/>
      </w:pPr>
    </w:p>
    <w:p w:rsidR="00FE17CC" w:rsidRPr="0099157E" w:rsidRDefault="00FE17CC" w:rsidP="0012127A">
      <w:pPr>
        <w:pStyle w:val="af"/>
        <w:numPr>
          <w:ilvl w:val="0"/>
          <w:numId w:val="1"/>
        </w:numPr>
        <w:spacing w:line="360" w:lineRule="auto"/>
        <w:jc w:val="both"/>
        <w:rPr>
          <w:rtl/>
        </w:rPr>
      </w:pPr>
      <w:r w:rsidRPr="0099157E">
        <w:rPr>
          <w:rFonts w:hint="cs"/>
          <w:rtl/>
        </w:rPr>
        <w:t>לכל אלו יש להוסיף את העובדה המשמעותית</w:t>
      </w:r>
      <w:r w:rsidR="00F91E64" w:rsidRPr="0099157E">
        <w:rPr>
          <w:rFonts w:hint="cs"/>
          <w:rtl/>
        </w:rPr>
        <w:t>,</w:t>
      </w:r>
      <w:r w:rsidRPr="0099157E">
        <w:rPr>
          <w:rFonts w:hint="cs"/>
          <w:rtl/>
        </w:rPr>
        <w:t xml:space="preserve"> כי </w:t>
      </w:r>
      <w:r w:rsidR="00000099">
        <w:rPr>
          <w:rFonts w:hint="cs"/>
          <w:rtl/>
        </w:rPr>
        <w:t>הגרוש</w:t>
      </w:r>
      <w:r w:rsidRPr="0099157E">
        <w:rPr>
          <w:rFonts w:hint="cs"/>
          <w:rtl/>
        </w:rPr>
        <w:t xml:space="preserve"> היה בצו 8 מאז אירועי השבת הארורה ביום 7.10.2</w:t>
      </w:r>
      <w:r w:rsidR="000320EA">
        <w:rPr>
          <w:rFonts w:hint="cs"/>
          <w:rtl/>
        </w:rPr>
        <w:t>3</w:t>
      </w:r>
      <w:r w:rsidRPr="0099157E">
        <w:rPr>
          <w:rFonts w:hint="cs"/>
          <w:rtl/>
        </w:rPr>
        <w:t xml:space="preserve"> - שירות מילואים אשר ממנו הוא טרם שוחרר עד עצם היום הזה, כפי שהוברר בעדותו לפני (בעמ' 12 למעלה). </w:t>
      </w:r>
      <w:r w:rsidR="00000099">
        <w:rPr>
          <w:rFonts w:hint="cs"/>
          <w:rtl/>
        </w:rPr>
        <w:t>הגרוש</w:t>
      </w:r>
      <w:r w:rsidRPr="0099157E">
        <w:rPr>
          <w:rFonts w:hint="cs"/>
          <w:rtl/>
        </w:rPr>
        <w:t xml:space="preserve">, שהוא </w:t>
      </w:r>
      <w:r w:rsidR="0012127A">
        <w:rPr>
          <w:rFonts w:hint="cs"/>
          <w:rtl/>
        </w:rPr>
        <w:t>...</w:t>
      </w:r>
      <w:r w:rsidRPr="0099157E">
        <w:rPr>
          <w:rFonts w:hint="cs"/>
          <w:rtl/>
        </w:rPr>
        <w:t xml:space="preserve"> </w:t>
      </w:r>
      <w:r w:rsidR="0012127A">
        <w:rPr>
          <w:rFonts w:hint="cs"/>
          <w:rtl/>
        </w:rPr>
        <w:t>...</w:t>
      </w:r>
      <w:r w:rsidRPr="0099157E">
        <w:rPr>
          <w:rFonts w:hint="cs"/>
          <w:rtl/>
        </w:rPr>
        <w:t xml:space="preserve">, העיד כי תחילה הוא לחם בהגנת </w:t>
      </w:r>
      <w:proofErr w:type="spellStart"/>
      <w:r w:rsidRPr="0099157E">
        <w:rPr>
          <w:rFonts w:hint="cs"/>
          <w:rtl/>
        </w:rPr>
        <w:t>ישובי</w:t>
      </w:r>
      <w:proofErr w:type="spellEnd"/>
      <w:r w:rsidRPr="0099157E">
        <w:rPr>
          <w:rFonts w:hint="cs"/>
          <w:rtl/>
        </w:rPr>
        <w:t xml:space="preserve"> העוטף, ולאחר מכן היה בין כוחות צה"ל שנכנסו לרצועת עזה ובהמשך בתמרון הקרקעי (עמ' 17). הוא העיד כי החופשה ה</w:t>
      </w:r>
      <w:r w:rsidR="00276764">
        <w:rPr>
          <w:rFonts w:hint="cs"/>
          <w:rtl/>
        </w:rPr>
        <w:t>ראשונה שהוא יצא אליה מאז גו</w:t>
      </w:r>
      <w:r w:rsidRPr="0099157E">
        <w:rPr>
          <w:rFonts w:hint="cs"/>
          <w:rtl/>
        </w:rPr>
        <w:t xml:space="preserve">יס למלחמת "חרבות ברזל" </w:t>
      </w:r>
      <w:proofErr w:type="spellStart"/>
      <w:r w:rsidRPr="0099157E">
        <w:rPr>
          <w:rFonts w:hint="cs"/>
          <w:rtl/>
        </w:rPr>
        <w:t>היתה</w:t>
      </w:r>
      <w:proofErr w:type="spellEnd"/>
      <w:r w:rsidRPr="0099157E">
        <w:rPr>
          <w:rFonts w:hint="cs"/>
          <w:rtl/>
        </w:rPr>
        <w:t xml:space="preserve"> כחודש לאחר התחלת התמרון הקרקעי בעזה, וגם זאת ל"אפטר" של כ-12 שעות בלבד (עמ' 20, </w:t>
      </w:r>
      <w:proofErr w:type="spellStart"/>
      <w:r w:rsidRPr="0099157E">
        <w:rPr>
          <w:rFonts w:hint="cs"/>
          <w:rtl/>
        </w:rPr>
        <w:t>בש</w:t>
      </w:r>
      <w:proofErr w:type="spellEnd"/>
      <w:r w:rsidRPr="0099157E">
        <w:rPr>
          <w:rFonts w:hint="cs"/>
          <w:rtl/>
        </w:rPr>
        <w:t xml:space="preserve">' 22-11). </w:t>
      </w:r>
      <w:r w:rsidR="00000099">
        <w:rPr>
          <w:rFonts w:hint="cs"/>
          <w:rtl/>
        </w:rPr>
        <w:t>הגרוש</w:t>
      </w:r>
      <w:r w:rsidRPr="0099157E">
        <w:rPr>
          <w:rFonts w:hint="cs"/>
          <w:rtl/>
        </w:rPr>
        <w:t xml:space="preserve"> ציין כי "אפטר" זה היה בסוף שנת 2023 (עמ' 20, </w:t>
      </w:r>
      <w:proofErr w:type="spellStart"/>
      <w:r w:rsidRPr="0099157E">
        <w:rPr>
          <w:rFonts w:hint="cs"/>
          <w:rtl/>
        </w:rPr>
        <w:t>בש</w:t>
      </w:r>
      <w:proofErr w:type="spellEnd"/>
      <w:r w:rsidRPr="0099157E">
        <w:rPr>
          <w:rFonts w:hint="cs"/>
          <w:rtl/>
        </w:rPr>
        <w:t>' 29-26)</w:t>
      </w:r>
      <w:r w:rsidR="00F91E64" w:rsidRPr="0099157E">
        <w:rPr>
          <w:rFonts w:hint="cs"/>
          <w:rtl/>
        </w:rPr>
        <w:t>.</w:t>
      </w:r>
      <w:r w:rsidRPr="0099157E">
        <w:rPr>
          <w:rFonts w:hint="cs"/>
          <w:rtl/>
        </w:rPr>
        <w:t xml:space="preserve"> העובדה כי </w:t>
      </w:r>
      <w:r w:rsidR="00000099">
        <w:rPr>
          <w:rFonts w:hint="cs"/>
          <w:rtl/>
        </w:rPr>
        <w:t>הגרוש</w:t>
      </w:r>
      <w:r w:rsidRPr="0099157E">
        <w:rPr>
          <w:rFonts w:hint="cs"/>
          <w:rtl/>
        </w:rPr>
        <w:t xml:space="preserve"> היה בצו 8 מאז ה-7.10.23, </w:t>
      </w:r>
      <w:proofErr w:type="spellStart"/>
      <w:r w:rsidRPr="0099157E">
        <w:rPr>
          <w:rFonts w:hint="cs"/>
          <w:rtl/>
        </w:rPr>
        <w:t>היתה</w:t>
      </w:r>
      <w:proofErr w:type="spellEnd"/>
      <w:r w:rsidRPr="0099157E">
        <w:rPr>
          <w:rFonts w:hint="cs"/>
          <w:rtl/>
        </w:rPr>
        <w:t xml:space="preserve"> כמובן ידועה לנתבעת והיא מסרה את הדברים לעורך דינה בסכסוך הגירושין (ראו עדותה בעמ' 55 </w:t>
      </w:r>
      <w:proofErr w:type="spellStart"/>
      <w:r w:rsidRPr="0099157E">
        <w:rPr>
          <w:rFonts w:hint="cs"/>
          <w:rtl/>
        </w:rPr>
        <w:t>בש</w:t>
      </w:r>
      <w:proofErr w:type="spellEnd"/>
      <w:r w:rsidRPr="0099157E">
        <w:rPr>
          <w:rFonts w:hint="cs"/>
          <w:rtl/>
        </w:rPr>
        <w:t xml:space="preserve">' 3-1). </w:t>
      </w:r>
    </w:p>
    <w:p w:rsidR="00FE17CC" w:rsidRPr="0099157E" w:rsidRDefault="00FE17CC" w:rsidP="00FE17CC">
      <w:pPr>
        <w:pStyle w:val="af"/>
        <w:jc w:val="both"/>
      </w:pPr>
    </w:p>
    <w:p w:rsidR="00FE17CC" w:rsidRPr="0099157E" w:rsidRDefault="00FE17CC" w:rsidP="00F91E64">
      <w:pPr>
        <w:pStyle w:val="af"/>
        <w:numPr>
          <w:ilvl w:val="0"/>
          <w:numId w:val="1"/>
        </w:numPr>
        <w:spacing w:line="360" w:lineRule="auto"/>
        <w:jc w:val="both"/>
        <w:rPr>
          <w:rtl/>
        </w:rPr>
      </w:pPr>
      <w:r w:rsidRPr="0099157E">
        <w:rPr>
          <w:rFonts w:hint="cs"/>
          <w:rtl/>
        </w:rPr>
        <w:t>אין צריך לומר כי לנוכח אירועי ה-7.10.2</w:t>
      </w:r>
      <w:r w:rsidR="00F91E64" w:rsidRPr="0099157E">
        <w:rPr>
          <w:rFonts w:hint="cs"/>
          <w:rtl/>
        </w:rPr>
        <w:t>3</w:t>
      </w:r>
      <w:r w:rsidRPr="0099157E">
        <w:rPr>
          <w:rFonts w:hint="cs"/>
          <w:rtl/>
        </w:rPr>
        <w:t xml:space="preserve"> שכללו, בין היתר, פלישה של מחבלים לישובים בדרום הארץ, כיבוש חלקם, רצח אכזרי של כ-1,400 אזרחים וחיילים, התעללות פיזית ו</w:t>
      </w:r>
      <w:r w:rsidR="00F91E64" w:rsidRPr="0099157E">
        <w:rPr>
          <w:rFonts w:hint="cs"/>
          <w:rtl/>
        </w:rPr>
        <w:t>פשעי מין</w:t>
      </w:r>
      <w:r w:rsidRPr="0099157E">
        <w:rPr>
          <w:rFonts w:hint="cs"/>
          <w:rtl/>
        </w:rPr>
        <w:t xml:space="preserve"> בקרבנות, הצתות של בתים ומכוניות וחטיפה של מאות אזרחים וחיילים לרצועת עזה, וכל זאת תחת מטר אינסופי של שיגורים מרצועת עזה לעבר ישראל, היה ברור לכל בימים שלאחר האירועים וגם זמן ממושך לאחר מכן, כי המלחמה צפויה להימשך חודשים ארוכים, כפי שאכן אירע בפועל, והרי כידוע, המלחמה עדיין נמשכת גם עתה. בנסיבות אלו, ביסוד משלוח תביעת הנתבעת במעטפה סגורה, שממוענת ל</w:t>
      </w:r>
      <w:r w:rsidR="00000099">
        <w:rPr>
          <w:rFonts w:hint="cs"/>
          <w:rtl/>
        </w:rPr>
        <w:t>גרוש</w:t>
      </w:r>
      <w:r w:rsidRPr="0099157E">
        <w:rPr>
          <w:rFonts w:hint="cs"/>
          <w:rtl/>
        </w:rPr>
        <w:t xml:space="preserve"> לכתובת מגורי הוריו עמדה הנחה סבירה וכנה, כי המצאה בדרך זו תהיה אפקטיבית, במובן זה שתבטיח ש</w:t>
      </w:r>
      <w:r w:rsidR="00000099">
        <w:rPr>
          <w:rFonts w:hint="cs"/>
          <w:rtl/>
        </w:rPr>
        <w:t>הגרוש</w:t>
      </w:r>
      <w:r w:rsidRPr="0099157E">
        <w:rPr>
          <w:rFonts w:hint="cs"/>
          <w:rtl/>
        </w:rPr>
        <w:t xml:space="preserve"> יתוודע לתביעה נגדו, תחת משלוחה לכתובת של דירה שכורה וריקה מאדם ב</w:t>
      </w:r>
      <w:r w:rsidR="00000099">
        <w:rPr>
          <w:rFonts w:hint="cs"/>
        </w:rPr>
        <w:t>A</w:t>
      </w:r>
      <w:r w:rsidR="000320EA">
        <w:t>-</w:t>
      </w:r>
      <w:r w:rsidRPr="0099157E">
        <w:rPr>
          <w:rFonts w:hint="cs"/>
          <w:rtl/>
        </w:rPr>
        <w:t xml:space="preserve">. </w:t>
      </w:r>
    </w:p>
    <w:p w:rsidR="00FE17CC" w:rsidRPr="0099157E" w:rsidRDefault="00FE17CC" w:rsidP="00FE17CC">
      <w:pPr>
        <w:pStyle w:val="af"/>
        <w:jc w:val="both"/>
      </w:pPr>
    </w:p>
    <w:p w:rsidR="00FE17CC" w:rsidRPr="0099157E" w:rsidRDefault="00000099" w:rsidP="00627C69">
      <w:pPr>
        <w:pStyle w:val="af"/>
        <w:numPr>
          <w:ilvl w:val="0"/>
          <w:numId w:val="1"/>
        </w:numPr>
        <w:spacing w:line="360" w:lineRule="auto"/>
        <w:jc w:val="both"/>
        <w:rPr>
          <w:rtl/>
        </w:rPr>
      </w:pPr>
      <w:r>
        <w:rPr>
          <w:rFonts w:hint="cs"/>
          <w:rtl/>
        </w:rPr>
        <w:t>הגרוש</w:t>
      </w:r>
      <w:r w:rsidR="00FE17CC" w:rsidRPr="0099157E">
        <w:rPr>
          <w:rFonts w:hint="cs"/>
          <w:rtl/>
        </w:rPr>
        <w:t xml:space="preserve"> נשאל בחקירתו כיצד הוא היה מקבל את כתב התביעה לו המשלוח היה לסניף הדואר ב</w:t>
      </w:r>
      <w:r w:rsidR="000320EA">
        <w:rPr>
          <w:rFonts w:hint="cs"/>
          <w:rtl/>
        </w:rPr>
        <w:t>-</w:t>
      </w:r>
      <w:r>
        <w:rPr>
          <w:rFonts w:hint="cs"/>
        </w:rPr>
        <w:t>A</w:t>
      </w:r>
      <w:r w:rsidR="00FE17CC" w:rsidRPr="0099157E">
        <w:rPr>
          <w:rFonts w:hint="cs"/>
          <w:rtl/>
        </w:rPr>
        <w:t xml:space="preserve">, והוא השיב כי הוא היה שולח חבר שיקבל עבורו את דבר הדואר (ראו: עדותו בעמ' 21, </w:t>
      </w:r>
      <w:proofErr w:type="spellStart"/>
      <w:r w:rsidR="00FE17CC" w:rsidRPr="0099157E">
        <w:rPr>
          <w:rFonts w:hint="cs"/>
          <w:rtl/>
        </w:rPr>
        <w:t>בש</w:t>
      </w:r>
      <w:proofErr w:type="spellEnd"/>
      <w:r w:rsidR="00FE17CC" w:rsidRPr="0099157E">
        <w:rPr>
          <w:rFonts w:hint="cs"/>
          <w:rtl/>
        </w:rPr>
        <w:t xml:space="preserve"> 17-15). ברם, הוא יכול היה לבקש מחבר לאסוף את דבר הדואר עבורו גם מסניף הדואר ב</w:t>
      </w:r>
      <w:r w:rsidR="000320EA">
        <w:rPr>
          <w:rFonts w:hint="cs"/>
          <w:rtl/>
        </w:rPr>
        <w:t>-</w:t>
      </w:r>
      <w:r>
        <w:rPr>
          <w:rFonts w:hint="cs"/>
        </w:rPr>
        <w:t>B</w:t>
      </w:r>
      <w:r w:rsidR="00FE17CC" w:rsidRPr="0099157E">
        <w:rPr>
          <w:rFonts w:hint="cs"/>
          <w:rtl/>
        </w:rPr>
        <w:t>, לשם הוא נשלח</w:t>
      </w:r>
      <w:r w:rsidR="00F91E64" w:rsidRPr="0099157E">
        <w:rPr>
          <w:rFonts w:hint="cs"/>
          <w:rtl/>
        </w:rPr>
        <w:t>,</w:t>
      </w:r>
      <w:r w:rsidR="00FE17CC" w:rsidRPr="0099157E">
        <w:rPr>
          <w:rFonts w:hint="cs"/>
          <w:rtl/>
        </w:rPr>
        <w:t xml:space="preserve"> אך הוא בחר בתובע אביו</w:t>
      </w:r>
      <w:r w:rsidR="00F91E64" w:rsidRPr="0099157E">
        <w:rPr>
          <w:rFonts w:hint="cs"/>
          <w:rtl/>
        </w:rPr>
        <w:t xml:space="preserve"> לעשות כן</w:t>
      </w:r>
      <w:r w:rsidR="00FE17CC" w:rsidRPr="0099157E">
        <w:rPr>
          <w:rFonts w:hint="cs"/>
          <w:rtl/>
        </w:rPr>
        <w:t>. מעבר לכך, וכאן הדגש, ברי כי כפי ש</w:t>
      </w:r>
      <w:r>
        <w:rPr>
          <w:rFonts w:hint="cs"/>
          <w:rtl/>
        </w:rPr>
        <w:t>הגרוש</w:t>
      </w:r>
      <w:r w:rsidR="00FE17CC" w:rsidRPr="0099157E">
        <w:rPr>
          <w:rFonts w:hint="cs"/>
          <w:rtl/>
        </w:rPr>
        <w:t xml:space="preserve"> ביקש מהתובע לפתוח את המעטפה כדי ש</w:t>
      </w:r>
      <w:r>
        <w:rPr>
          <w:rFonts w:hint="cs"/>
          <w:rtl/>
        </w:rPr>
        <w:t>הגרוש</w:t>
      </w:r>
      <w:r w:rsidR="00FE17CC" w:rsidRPr="0099157E">
        <w:rPr>
          <w:rFonts w:hint="cs"/>
          <w:rtl/>
        </w:rPr>
        <w:t xml:space="preserve"> ידע במה המדובר, הוא היה מבקש כן גם מחברו לו היה פונה אליו בבקשה שיאסוף את דבר הדואר, בין אם דבר הדואר היה נשלח לסניף הדואר בישוב </w:t>
      </w:r>
      <w:r>
        <w:rPr>
          <w:rFonts w:hint="cs"/>
        </w:rPr>
        <w:t>A</w:t>
      </w:r>
      <w:r w:rsidR="00FE17CC" w:rsidRPr="0099157E">
        <w:rPr>
          <w:rFonts w:hint="cs"/>
          <w:rtl/>
        </w:rPr>
        <w:t xml:space="preserve"> ובין א</w:t>
      </w:r>
      <w:r w:rsidR="00627C69">
        <w:rPr>
          <w:rFonts w:hint="cs"/>
          <w:rtl/>
        </w:rPr>
        <w:t xml:space="preserve">ם לסניף הדואר שאליו נשלח בפועל </w:t>
      </w:r>
      <w:r w:rsidR="00FE17CC" w:rsidRPr="0099157E">
        <w:rPr>
          <w:rFonts w:hint="cs"/>
          <w:rtl/>
        </w:rPr>
        <w:t>ב</w:t>
      </w:r>
      <w:r w:rsidR="00627C69">
        <w:rPr>
          <w:rFonts w:hint="cs"/>
          <w:rtl/>
        </w:rPr>
        <w:t>-</w:t>
      </w:r>
      <w:r>
        <w:rPr>
          <w:rFonts w:hint="cs"/>
        </w:rPr>
        <w:t>B</w:t>
      </w:r>
      <w:r w:rsidR="00FE17CC" w:rsidRPr="0099157E">
        <w:rPr>
          <w:rFonts w:hint="cs"/>
          <w:rtl/>
        </w:rPr>
        <w:t xml:space="preserve">. יתר על כן, בעוד שאילו התובע לבדו היה פותח את המעטפה, כפי שהתבקש על </w:t>
      </w:r>
      <w:r w:rsidR="00FE17CC" w:rsidRPr="0099157E">
        <w:rPr>
          <w:rtl/>
        </w:rPr>
        <w:t xml:space="preserve">ידי </w:t>
      </w:r>
      <w:r>
        <w:rPr>
          <w:rtl/>
        </w:rPr>
        <w:t>הגרוש</w:t>
      </w:r>
      <w:r w:rsidR="00FE17CC" w:rsidRPr="0099157E">
        <w:rPr>
          <w:rtl/>
        </w:rPr>
        <w:t xml:space="preserve">, כדי לעדכנו במה </w:t>
      </w:r>
      <w:r w:rsidR="00FE17CC" w:rsidRPr="0099157E">
        <w:rPr>
          <w:rtl/>
        </w:rPr>
        <w:lastRenderedPageBreak/>
        <w:t xml:space="preserve">המדובר, הדבר לא היה מהווה פרסום לשון הרע לפי סעיף 33 </w:t>
      </w:r>
      <w:r w:rsidR="00FE17CC" w:rsidRPr="0099157E">
        <w:rPr>
          <w:rStyle w:val="default"/>
          <w:rFonts w:ascii="David" w:hAnsi="David" w:cs="David"/>
          <w:rtl/>
        </w:rPr>
        <w:t xml:space="preserve">(ב)(2) לחוק, המגדיר "פרסום" לשון הרע "אם </w:t>
      </w:r>
      <w:proofErr w:type="spellStart"/>
      <w:r w:rsidR="00FE17CC" w:rsidRPr="0099157E">
        <w:rPr>
          <w:rStyle w:val="default"/>
          <w:rFonts w:ascii="David" w:hAnsi="David" w:cs="David"/>
          <w:rtl/>
        </w:rPr>
        <w:t>היתה</w:t>
      </w:r>
      <w:proofErr w:type="spellEnd"/>
      <w:r w:rsidR="00FE17CC" w:rsidRPr="0099157E">
        <w:rPr>
          <w:rStyle w:val="default"/>
          <w:rFonts w:ascii="David" w:hAnsi="David" w:cs="David"/>
          <w:rtl/>
        </w:rPr>
        <w:t xml:space="preserve"> בכתב והכתב עשוי היה, לפי הנסיבות להגיע לאדם זולת הנפגע" (והרי הוא הנפגע), הרי שדווקא פתיחת המעטפה על ידי חבר של </w:t>
      </w:r>
      <w:r>
        <w:rPr>
          <w:rStyle w:val="default"/>
          <w:rFonts w:ascii="David" w:hAnsi="David" w:cs="David"/>
          <w:rtl/>
        </w:rPr>
        <w:t>הגרוש</w:t>
      </w:r>
      <w:r w:rsidR="00FE17CC" w:rsidRPr="0099157E">
        <w:rPr>
          <w:rStyle w:val="default"/>
          <w:rFonts w:ascii="David" w:hAnsi="David" w:cs="David"/>
          <w:rtl/>
        </w:rPr>
        <w:t xml:space="preserve"> וחשיפתו לפרסום, היה מביא לכך שאדם שאינו הנפגע היה נחשף לדברים שנטענו ביחס לתובע.</w:t>
      </w:r>
      <w:r w:rsidR="00FE17CC" w:rsidRPr="0099157E">
        <w:rPr>
          <w:rtl/>
        </w:rPr>
        <w:t xml:space="preserve"> </w:t>
      </w:r>
    </w:p>
    <w:p w:rsidR="00FE17CC" w:rsidRPr="0099157E" w:rsidRDefault="00FE17CC" w:rsidP="00FE17CC">
      <w:pPr>
        <w:pStyle w:val="af"/>
        <w:jc w:val="both"/>
      </w:pPr>
    </w:p>
    <w:p w:rsidR="00FE17CC" w:rsidRPr="0099157E" w:rsidRDefault="00FE17CC" w:rsidP="00FE17CC">
      <w:pPr>
        <w:pStyle w:val="af"/>
        <w:numPr>
          <w:ilvl w:val="0"/>
          <w:numId w:val="1"/>
        </w:numPr>
        <w:spacing w:line="360" w:lineRule="auto"/>
        <w:jc w:val="both"/>
        <w:rPr>
          <w:rtl/>
        </w:rPr>
      </w:pPr>
      <w:r w:rsidRPr="0099157E">
        <w:rPr>
          <w:rFonts w:hint="cs"/>
          <w:rtl/>
        </w:rPr>
        <w:t>משלוח דבר הדואר לכתובת מגורי התובע ורעייתו מקורו אם כן בהנחה סבירה שזו דרך המצאה אפקטיבית בהינתן ש</w:t>
      </w:r>
      <w:r w:rsidR="00000099">
        <w:rPr>
          <w:rFonts w:hint="cs"/>
          <w:rtl/>
        </w:rPr>
        <w:t>הגרוש</w:t>
      </w:r>
      <w:r w:rsidRPr="0099157E">
        <w:rPr>
          <w:rFonts w:hint="cs"/>
          <w:rtl/>
        </w:rPr>
        <w:t xml:space="preserve"> נלחם בעזה במסגרת צו 8, ולחילופין, מקורו בטעות סבירה וכנה כי זו כתובת מגוריו בשים לב לרישומים השונים של כתובת מגוריו במסמכים השונים, לרבות בקשה לישוב סכסוך ש</w:t>
      </w:r>
      <w:r w:rsidR="00000099">
        <w:rPr>
          <w:rFonts w:hint="cs"/>
          <w:rtl/>
        </w:rPr>
        <w:t>הגרוש</w:t>
      </w:r>
      <w:r w:rsidRPr="0099157E">
        <w:rPr>
          <w:rFonts w:hint="cs"/>
          <w:rtl/>
        </w:rPr>
        <w:t xml:space="preserve"> כתב בכתב ידו.  </w:t>
      </w:r>
    </w:p>
    <w:p w:rsidR="00FE17CC" w:rsidRPr="0099157E" w:rsidRDefault="00FE17CC" w:rsidP="00FE17CC">
      <w:pPr>
        <w:pStyle w:val="af"/>
        <w:jc w:val="both"/>
      </w:pPr>
    </w:p>
    <w:p w:rsidR="00F91E64" w:rsidRPr="0099157E" w:rsidRDefault="00FE17CC" w:rsidP="00F91E64">
      <w:pPr>
        <w:pStyle w:val="af"/>
        <w:numPr>
          <w:ilvl w:val="0"/>
          <w:numId w:val="1"/>
        </w:numPr>
        <w:spacing w:line="360" w:lineRule="auto"/>
        <w:jc w:val="both"/>
      </w:pPr>
      <w:r w:rsidRPr="0099157E">
        <w:rPr>
          <w:rFonts w:hint="cs"/>
          <w:rtl/>
        </w:rPr>
        <w:t xml:space="preserve">כמו כן, מצאתי כי יש טעם רב בטענת הנתבעת כי מי שלמעשה הביא בפועל לכך שהתובע ורעייתו יחשפו לפרסום הוא </w:t>
      </w:r>
      <w:r w:rsidR="00000099">
        <w:rPr>
          <w:rFonts w:hint="cs"/>
          <w:rtl/>
        </w:rPr>
        <w:t>הגרוש</w:t>
      </w:r>
      <w:r w:rsidRPr="0099157E">
        <w:rPr>
          <w:rFonts w:hint="cs"/>
          <w:rtl/>
        </w:rPr>
        <w:t xml:space="preserve"> או התובע בעצמו. </w:t>
      </w:r>
    </w:p>
    <w:p w:rsidR="00F91E64" w:rsidRPr="0099157E" w:rsidRDefault="00F91E64" w:rsidP="00F91E64">
      <w:pPr>
        <w:pStyle w:val="af"/>
        <w:rPr>
          <w:rtl/>
        </w:rPr>
      </w:pPr>
    </w:p>
    <w:p w:rsidR="00F91E64" w:rsidRPr="0099157E" w:rsidRDefault="00FE17CC" w:rsidP="00805732">
      <w:pPr>
        <w:pStyle w:val="af"/>
        <w:spacing w:line="360" w:lineRule="auto"/>
        <w:jc w:val="both"/>
      </w:pPr>
      <w:r w:rsidRPr="0099157E">
        <w:rPr>
          <w:rFonts w:hint="cs"/>
          <w:rtl/>
        </w:rPr>
        <w:t xml:space="preserve">אין חולק כי תביעת הנתבעת בבית הדין נשלחה במעטפה סגורה אשר הנמען </w:t>
      </w:r>
      <w:proofErr w:type="spellStart"/>
      <w:r w:rsidRPr="0099157E">
        <w:rPr>
          <w:rFonts w:hint="cs"/>
          <w:rtl/>
        </w:rPr>
        <w:t>שצויין</w:t>
      </w:r>
      <w:proofErr w:type="spellEnd"/>
      <w:r w:rsidRPr="0099157E">
        <w:rPr>
          <w:rFonts w:hint="cs"/>
          <w:rtl/>
        </w:rPr>
        <w:t xml:space="preserve"> על גביה הוא </w:t>
      </w:r>
      <w:r w:rsidR="00000099">
        <w:rPr>
          <w:rFonts w:hint="cs"/>
          <w:rtl/>
        </w:rPr>
        <w:t>הגרוש</w:t>
      </w:r>
      <w:r w:rsidRPr="0099157E">
        <w:rPr>
          <w:rFonts w:hint="cs"/>
          <w:rtl/>
        </w:rPr>
        <w:t>. ההודעה על התקבלות דבר הדואר הרשום נשלחה ל</w:t>
      </w:r>
      <w:r w:rsidR="00000099">
        <w:rPr>
          <w:rFonts w:hint="cs"/>
          <w:rtl/>
        </w:rPr>
        <w:t>גרוש</w:t>
      </w:r>
      <w:r w:rsidRPr="0099157E">
        <w:rPr>
          <w:rFonts w:hint="cs"/>
          <w:rtl/>
        </w:rPr>
        <w:t xml:space="preserve"> (</w:t>
      </w:r>
      <w:r w:rsidRPr="0099157E">
        <w:rPr>
          <w:rFonts w:hint="cs"/>
          <w:b/>
          <w:bCs/>
          <w:u w:val="single"/>
          <w:rtl/>
        </w:rPr>
        <w:t>מוצג ת/1</w:t>
      </w:r>
      <w:r w:rsidRPr="0099157E">
        <w:rPr>
          <w:rFonts w:hint="cs"/>
          <w:rtl/>
        </w:rPr>
        <w:t xml:space="preserve">). </w:t>
      </w:r>
      <w:r w:rsidR="00000099">
        <w:rPr>
          <w:rFonts w:hint="cs"/>
          <w:rtl/>
        </w:rPr>
        <w:t>הגרוש</w:t>
      </w:r>
      <w:r w:rsidRPr="0099157E">
        <w:rPr>
          <w:rFonts w:hint="cs"/>
          <w:rtl/>
        </w:rPr>
        <w:t xml:space="preserve"> הוא זה שלא הסתפק בכך שביקש מאביו לאסוף את דבר הדואר הרשום עבורו אלא גם לפתוח אותו, כדי לעדכן אותו במה המדובר (כך כזכור העיד התובע, והדברים התאשרו בעת עדותו של </w:t>
      </w:r>
      <w:r w:rsidR="00000099">
        <w:rPr>
          <w:rFonts w:hint="cs"/>
          <w:rtl/>
        </w:rPr>
        <w:t>הגרוש</w:t>
      </w:r>
      <w:r w:rsidRPr="0099157E">
        <w:rPr>
          <w:rFonts w:hint="cs"/>
          <w:rtl/>
        </w:rPr>
        <w:t xml:space="preserve">, שאף הוסיף כי הוא התכוון שהתובע או אמו, יראו במה המדובר - ראו למשל בעמ' 22 למטה ובעמ' 23 למעלה). יוזכר כי התביעה הוגשה כשקדמו לכך שתי בקשות לישוב סכסוך שהוגשו במקביל על ידי </w:t>
      </w:r>
      <w:r w:rsidR="00000099">
        <w:rPr>
          <w:rFonts w:hint="cs"/>
          <w:rtl/>
        </w:rPr>
        <w:t>הגרוש</w:t>
      </w:r>
      <w:r w:rsidRPr="0099157E">
        <w:rPr>
          <w:rFonts w:hint="cs"/>
          <w:rtl/>
        </w:rPr>
        <w:t xml:space="preserve"> והנתבעת ולאחר ש</w:t>
      </w:r>
      <w:r w:rsidR="00000099">
        <w:rPr>
          <w:rFonts w:hint="cs"/>
          <w:rtl/>
        </w:rPr>
        <w:t>הגרוש</w:t>
      </w:r>
      <w:r w:rsidRPr="0099157E">
        <w:rPr>
          <w:rFonts w:hint="cs"/>
          <w:rtl/>
        </w:rPr>
        <w:t xml:space="preserve"> עזב את בית המגורים המשותף ואף החל לקיים זמני שהות עם הקטינים. ברי כי כמו התובע</w:t>
      </w:r>
      <w:r w:rsidR="00F91E64" w:rsidRPr="0099157E">
        <w:rPr>
          <w:rFonts w:hint="cs"/>
          <w:rtl/>
        </w:rPr>
        <w:t>,</w:t>
      </w:r>
      <w:r w:rsidRPr="0099157E">
        <w:rPr>
          <w:rFonts w:hint="cs"/>
          <w:rtl/>
        </w:rPr>
        <w:t xml:space="preserve"> שהעריך כי דבר הדואר הוא מסמך משפטי (ראו מסרון התובע ל</w:t>
      </w:r>
      <w:r w:rsidR="00000099">
        <w:rPr>
          <w:rFonts w:hint="cs"/>
          <w:rtl/>
        </w:rPr>
        <w:t>גרוש</w:t>
      </w:r>
      <w:r w:rsidRPr="0099157E">
        <w:rPr>
          <w:rFonts w:hint="cs"/>
          <w:rtl/>
        </w:rPr>
        <w:t>,</w:t>
      </w:r>
      <w:r w:rsidRPr="0099157E">
        <w:rPr>
          <w:rFonts w:hint="cs"/>
          <w:b/>
          <w:bCs/>
          <w:u w:val="single"/>
          <w:rtl/>
        </w:rPr>
        <w:t xml:space="preserve"> מוצג ת/1</w:t>
      </w:r>
      <w:r w:rsidRPr="0099157E">
        <w:rPr>
          <w:rFonts w:hint="cs"/>
          <w:rtl/>
        </w:rPr>
        <w:t xml:space="preserve"> ועדות </w:t>
      </w:r>
      <w:r w:rsidR="00000099">
        <w:rPr>
          <w:rFonts w:hint="cs"/>
          <w:rtl/>
        </w:rPr>
        <w:t>הגרוש</w:t>
      </w:r>
      <w:r w:rsidRPr="0099157E">
        <w:rPr>
          <w:rFonts w:hint="cs"/>
          <w:rtl/>
        </w:rPr>
        <w:t xml:space="preserve"> בעמ' 18 </w:t>
      </w:r>
      <w:proofErr w:type="spellStart"/>
      <w:r w:rsidRPr="0099157E">
        <w:rPr>
          <w:rFonts w:hint="cs"/>
          <w:rtl/>
        </w:rPr>
        <w:t>בש</w:t>
      </w:r>
      <w:proofErr w:type="spellEnd"/>
      <w:r w:rsidRPr="0099157E">
        <w:rPr>
          <w:rFonts w:hint="cs"/>
          <w:rtl/>
        </w:rPr>
        <w:t>' 25-22 ובעמ' 19 למעלה), גם ל</w:t>
      </w:r>
      <w:r w:rsidR="00000099">
        <w:rPr>
          <w:rFonts w:hint="cs"/>
          <w:rtl/>
        </w:rPr>
        <w:t>גרוש</w:t>
      </w:r>
      <w:r w:rsidRPr="0099157E">
        <w:rPr>
          <w:rFonts w:hint="cs"/>
          <w:rtl/>
        </w:rPr>
        <w:t xml:space="preserve"> היה או צריך היה להיות יסוד סביר להניח שמדובר בכתב בי-דין שקשור בסכסוך הגירושין שלו עם הנתבעת. אין לבוא כמובן בטענות ל</w:t>
      </w:r>
      <w:r w:rsidR="00000099">
        <w:rPr>
          <w:rFonts w:hint="cs"/>
          <w:rtl/>
        </w:rPr>
        <w:t>גרוש</w:t>
      </w:r>
      <w:r w:rsidRPr="0099157E">
        <w:rPr>
          <w:rFonts w:hint="cs"/>
          <w:rtl/>
        </w:rPr>
        <w:t xml:space="preserve"> שלחם אותה שעה בלחימה קשה ו</w:t>
      </w:r>
      <w:r w:rsidR="00F91E64" w:rsidRPr="0099157E">
        <w:rPr>
          <w:rFonts w:hint="cs"/>
          <w:rtl/>
        </w:rPr>
        <w:t xml:space="preserve">אשר </w:t>
      </w:r>
      <w:r w:rsidRPr="0099157E">
        <w:rPr>
          <w:rFonts w:hint="cs"/>
          <w:rtl/>
        </w:rPr>
        <w:t>הוטרד מדבר הדואר ורצה לדעת במה המדובר, אך לא ניתן להתעלם מכך, שבשל בקשתו המפורשת</w:t>
      </w:r>
      <w:r w:rsidR="00F91E64" w:rsidRPr="0099157E">
        <w:rPr>
          <w:rFonts w:hint="cs"/>
          <w:rtl/>
        </w:rPr>
        <w:t>,</w:t>
      </w:r>
      <w:r w:rsidRPr="0099157E">
        <w:rPr>
          <w:rFonts w:hint="cs"/>
          <w:rtl/>
        </w:rPr>
        <w:t xml:space="preserve"> הפרסום הגיע למי שהוא לא היה מיועד אליו. </w:t>
      </w:r>
      <w:r w:rsidR="00F91E64" w:rsidRPr="0099157E">
        <w:rPr>
          <w:rFonts w:hint="cs"/>
          <w:rtl/>
        </w:rPr>
        <w:t xml:space="preserve">ודוק,  </w:t>
      </w:r>
      <w:r w:rsidR="00000099">
        <w:rPr>
          <w:rFonts w:hint="cs"/>
          <w:rtl/>
        </w:rPr>
        <w:t>הגרוש</w:t>
      </w:r>
      <w:r w:rsidR="00F91E64" w:rsidRPr="0099157E">
        <w:rPr>
          <w:rFonts w:hint="cs"/>
          <w:rtl/>
        </w:rPr>
        <w:t xml:space="preserve"> בעצמו </w:t>
      </w:r>
      <w:r w:rsidR="000320EA">
        <w:rPr>
          <w:rFonts w:hint="cs"/>
          <w:rtl/>
        </w:rPr>
        <w:t>...</w:t>
      </w:r>
      <w:r w:rsidR="00F91E64" w:rsidRPr="0099157E">
        <w:rPr>
          <w:rFonts w:hint="cs"/>
          <w:rtl/>
        </w:rPr>
        <w:t xml:space="preserve"> (</w:t>
      </w:r>
      <w:r w:rsidR="00805732">
        <w:rPr>
          <w:rFonts w:hint="cs"/>
          <w:rtl/>
        </w:rPr>
        <w:t>..</w:t>
      </w:r>
      <w:r w:rsidR="000320EA">
        <w:rPr>
          <w:rFonts w:hint="cs"/>
          <w:rtl/>
        </w:rPr>
        <w:t>.....</w:t>
      </w:r>
      <w:r w:rsidR="00F91E64" w:rsidRPr="0099157E">
        <w:rPr>
          <w:rFonts w:hint="cs"/>
          <w:rtl/>
        </w:rPr>
        <w:t xml:space="preserve">) וידע שמערכת היחסים בין הנתבעת להוריו </w:t>
      </w:r>
      <w:proofErr w:type="spellStart"/>
      <w:r w:rsidR="00F91E64" w:rsidRPr="0099157E">
        <w:rPr>
          <w:rFonts w:hint="cs"/>
          <w:rtl/>
        </w:rPr>
        <w:t>היתה</w:t>
      </w:r>
      <w:proofErr w:type="spellEnd"/>
      <w:r w:rsidR="00F91E64" w:rsidRPr="0099157E">
        <w:rPr>
          <w:rFonts w:hint="cs"/>
          <w:rtl/>
        </w:rPr>
        <w:t xml:space="preserve"> גרועה ויש בינה ל</w:t>
      </w:r>
      <w:r w:rsidR="00000099">
        <w:rPr>
          <w:rFonts w:hint="cs"/>
          <w:rtl/>
        </w:rPr>
        <w:t>גרוש</w:t>
      </w:r>
      <w:r w:rsidR="00F91E64" w:rsidRPr="0099157E">
        <w:rPr>
          <w:rFonts w:hint="cs"/>
          <w:rtl/>
        </w:rPr>
        <w:t xml:space="preserve"> סכסוך גירושין. </w:t>
      </w:r>
    </w:p>
    <w:p w:rsidR="00F91E64" w:rsidRPr="000320EA" w:rsidRDefault="00F91E64" w:rsidP="00F91E64">
      <w:pPr>
        <w:pStyle w:val="af"/>
        <w:spacing w:line="360" w:lineRule="auto"/>
        <w:jc w:val="both"/>
      </w:pPr>
    </w:p>
    <w:p w:rsidR="00FE17CC" w:rsidRPr="0099157E" w:rsidRDefault="00FE17CC" w:rsidP="00F91E64">
      <w:pPr>
        <w:pStyle w:val="af"/>
        <w:spacing w:line="360" w:lineRule="auto"/>
        <w:jc w:val="both"/>
        <w:rPr>
          <w:rtl/>
        </w:rPr>
      </w:pPr>
      <w:r w:rsidRPr="0099157E">
        <w:rPr>
          <w:rFonts w:hint="cs"/>
          <w:rtl/>
        </w:rPr>
        <w:t xml:space="preserve">אשר לתובע, גם הוא לא ראה לפתוח את המעטפה כדי לעדכן את </w:t>
      </w:r>
      <w:r w:rsidR="00000099">
        <w:rPr>
          <w:rFonts w:hint="cs"/>
          <w:rtl/>
        </w:rPr>
        <w:t>הגרוש</w:t>
      </w:r>
      <w:r w:rsidRPr="0099157E">
        <w:rPr>
          <w:rFonts w:hint="cs"/>
          <w:rtl/>
        </w:rPr>
        <w:t>, בלי לחשוף את המסמך שהוא מסמך חסוי שחל לגביו איסור פרסום, בפני רעייתו, על ידי הנחת המעטפה בפינת האוכל, הגם שידע ש</w:t>
      </w:r>
      <w:r w:rsidR="00000099">
        <w:rPr>
          <w:rFonts w:hint="cs"/>
          <w:rtl/>
        </w:rPr>
        <w:t>הגרוש</w:t>
      </w:r>
      <w:r w:rsidRPr="0099157E">
        <w:rPr>
          <w:rFonts w:hint="cs"/>
          <w:rtl/>
        </w:rPr>
        <w:t xml:space="preserve"> והנתבעת בסכסוך גירושין, כי הם הפרידו את המגורים ושנפתח הליך ישוב סכסוך (ראו עדות </w:t>
      </w:r>
      <w:r w:rsidR="00000099">
        <w:rPr>
          <w:rFonts w:hint="cs"/>
          <w:rtl/>
        </w:rPr>
        <w:t>הגרוש</w:t>
      </w:r>
      <w:r w:rsidRPr="0099157E">
        <w:rPr>
          <w:rFonts w:hint="cs"/>
          <w:rtl/>
        </w:rPr>
        <w:t xml:space="preserve"> בעמ' </w:t>
      </w:r>
      <w:proofErr w:type="spellStart"/>
      <w:r w:rsidRPr="0099157E">
        <w:rPr>
          <w:rFonts w:hint="cs"/>
          <w:rtl/>
        </w:rPr>
        <w:t>בש</w:t>
      </w:r>
      <w:proofErr w:type="spellEnd"/>
      <w:r w:rsidRPr="0099157E">
        <w:rPr>
          <w:rFonts w:hint="cs"/>
          <w:rtl/>
        </w:rPr>
        <w:t>' 23-15). ודוק, לשאלה שהופנתה לרעיית התובע, מדוע היא פתחה את המעטפה היא</w:t>
      </w:r>
      <w:r w:rsidR="00065C1E" w:rsidRPr="0099157E">
        <w:rPr>
          <w:rFonts w:hint="cs"/>
          <w:rtl/>
        </w:rPr>
        <w:t xml:space="preserve"> מסרה כי </w:t>
      </w:r>
      <w:r w:rsidRPr="0099157E">
        <w:rPr>
          <w:rFonts w:hint="cs"/>
          <w:rtl/>
        </w:rPr>
        <w:t>התובע אמר לה ש</w:t>
      </w:r>
      <w:r w:rsidR="00000099">
        <w:rPr>
          <w:rFonts w:hint="cs"/>
          <w:rtl/>
        </w:rPr>
        <w:t>הגרוש</w:t>
      </w:r>
      <w:r w:rsidRPr="0099157E">
        <w:rPr>
          <w:rFonts w:hint="cs"/>
          <w:rtl/>
        </w:rPr>
        <w:t xml:space="preserve"> אמר שמותר להם (קרי, להוריו) לפתוח את המעטפה וכי אין להם סודות זה כלפי זה (עמ' 37 </w:t>
      </w:r>
      <w:proofErr w:type="spellStart"/>
      <w:r w:rsidRPr="0099157E">
        <w:rPr>
          <w:rFonts w:hint="cs"/>
          <w:rtl/>
        </w:rPr>
        <w:t>בש</w:t>
      </w:r>
      <w:proofErr w:type="spellEnd"/>
      <w:r w:rsidRPr="0099157E">
        <w:rPr>
          <w:rFonts w:hint="cs"/>
          <w:rtl/>
        </w:rPr>
        <w:t>' 8-1).</w:t>
      </w:r>
    </w:p>
    <w:p w:rsidR="00FE17CC" w:rsidRPr="0099157E" w:rsidRDefault="00FE17CC" w:rsidP="00FE17CC">
      <w:pPr>
        <w:pStyle w:val="af"/>
        <w:jc w:val="both"/>
      </w:pPr>
    </w:p>
    <w:p w:rsidR="00FE17CC" w:rsidRPr="0099157E" w:rsidRDefault="00FE17CC" w:rsidP="00FE17CC">
      <w:pPr>
        <w:pStyle w:val="af"/>
        <w:numPr>
          <w:ilvl w:val="0"/>
          <w:numId w:val="1"/>
        </w:numPr>
        <w:spacing w:line="360" w:lineRule="auto"/>
        <w:jc w:val="both"/>
        <w:rPr>
          <w:rtl/>
        </w:rPr>
      </w:pPr>
      <w:r w:rsidRPr="0099157E">
        <w:rPr>
          <w:rFonts w:hint="cs"/>
          <w:rtl/>
        </w:rPr>
        <w:t xml:space="preserve">פסקי הדין שאליהם הפנה התובע בטיעוניו שהוגשו ביום 3.4.24 ובסיכומיו בעל פה לפניי בהקשר של פרסום לזרים שאינו חוסה תחת החסינות לפי סע' 13(5) דנים במצבים עובדתיים שונים לחלוטין מאלה שלפנינו. </w:t>
      </w:r>
    </w:p>
    <w:p w:rsidR="00FE17CC" w:rsidRPr="0099157E" w:rsidRDefault="00FE17CC" w:rsidP="00FE17CC">
      <w:pPr>
        <w:pStyle w:val="af"/>
        <w:jc w:val="both"/>
      </w:pPr>
    </w:p>
    <w:p w:rsidR="00FE17CC" w:rsidRPr="0099157E" w:rsidRDefault="00FE17CC" w:rsidP="00065C1E">
      <w:pPr>
        <w:pStyle w:val="af"/>
        <w:numPr>
          <w:ilvl w:val="0"/>
          <w:numId w:val="1"/>
        </w:numPr>
        <w:spacing w:line="360" w:lineRule="auto"/>
        <w:jc w:val="both"/>
        <w:rPr>
          <w:rtl/>
        </w:rPr>
      </w:pPr>
      <w:r w:rsidRPr="0099157E">
        <w:rPr>
          <w:rFonts w:hint="cs"/>
          <w:rtl/>
        </w:rPr>
        <w:t xml:space="preserve">כך, </w:t>
      </w:r>
      <w:proofErr w:type="spellStart"/>
      <w:r w:rsidRPr="0099157E">
        <w:rPr>
          <w:rFonts w:hint="cs"/>
          <w:rtl/>
        </w:rPr>
        <w:t>בעמ"ש</w:t>
      </w:r>
      <w:proofErr w:type="spellEnd"/>
      <w:r w:rsidRPr="0099157E">
        <w:rPr>
          <w:rFonts w:hint="cs"/>
          <w:rtl/>
        </w:rPr>
        <w:t xml:space="preserve"> (מח'-ים) 42920-05-13, נבו, ניתן ביום 3.9.13, שאליו הפנה ב"כ התובע, נדונה בתביעת נזיקין, שנסובה, בין השאר, על כך שהאיש כפה על האישה להעלות על הכתב מכתב שכתיבתו נמשכה מספר חודשים שבו נאלצה לגולל פרטים שונים כולל תיאורים אינטימיים ביותר בעניין קשר שניהלה עם גבר אחר וזאת כדי להניא אותה מעמידה על זכויותיה בעתיד. חלקים ממכתב זה נשלחו לבית אבי האישה וכן נשלחו למקום עבודתה חלקים מכתב ההגנה של האיש בתביעה </w:t>
      </w:r>
      <w:proofErr w:type="spellStart"/>
      <w:r w:rsidRPr="0099157E">
        <w:rPr>
          <w:rFonts w:hint="cs"/>
          <w:rtl/>
        </w:rPr>
        <w:t>הנזיקין</w:t>
      </w:r>
      <w:proofErr w:type="spellEnd"/>
      <w:r w:rsidRPr="0099157E">
        <w:rPr>
          <w:rFonts w:hint="cs"/>
          <w:rtl/>
        </w:rPr>
        <w:t>. בית המשפט לענייני משפ</w:t>
      </w:r>
      <w:r w:rsidR="00805732">
        <w:rPr>
          <w:rFonts w:hint="cs"/>
          <w:rtl/>
        </w:rPr>
        <w:t>ח</w:t>
      </w:r>
      <w:r w:rsidRPr="0099157E">
        <w:rPr>
          <w:rFonts w:hint="cs"/>
          <w:rtl/>
        </w:rPr>
        <w:t>ה קבע כי המסמכים שהגיעו לידי אבי האישה נועדו לפגוע בפרטיות האישה, ולהשפילה ולבזותה, בלא שהיה לאיש כל אינטרס לגיט</w:t>
      </w:r>
      <w:r w:rsidR="00065C1E" w:rsidRPr="0099157E">
        <w:rPr>
          <w:rFonts w:hint="cs"/>
          <w:rtl/>
        </w:rPr>
        <w:t>י</w:t>
      </w:r>
      <w:r w:rsidRPr="0099157E">
        <w:rPr>
          <w:rFonts w:hint="cs"/>
          <w:rtl/>
        </w:rPr>
        <w:t xml:space="preserve">מי לחשוף את הדברים בפני האב, וחייב את האיש בפיצוי בסך של 18,000 ₪. בית המשפט המחוזי הגדיל את הפיצוי לסך של 50,000 ₪ בגין כל פרסום, ובסה"כ ל-100,000 ₪. </w:t>
      </w:r>
      <w:proofErr w:type="spellStart"/>
      <w:r w:rsidRPr="0099157E">
        <w:rPr>
          <w:rFonts w:hint="cs"/>
          <w:rtl/>
        </w:rPr>
        <w:t>בבע"מ</w:t>
      </w:r>
      <w:proofErr w:type="spellEnd"/>
      <w:r w:rsidRPr="0099157E">
        <w:rPr>
          <w:rFonts w:hint="cs"/>
          <w:rtl/>
        </w:rPr>
        <w:t xml:space="preserve"> 7073-13 </w:t>
      </w:r>
      <w:r w:rsidRPr="0099157E">
        <w:rPr>
          <w:rFonts w:hint="cs"/>
          <w:b/>
          <w:bCs/>
          <w:rtl/>
        </w:rPr>
        <w:t>פלוני נגד פלונית</w:t>
      </w:r>
      <w:r w:rsidRPr="0099157E">
        <w:rPr>
          <w:rFonts w:hint="cs"/>
          <w:rtl/>
        </w:rPr>
        <w:t>, נבו ניתן ביום</w:t>
      </w:r>
      <w:r w:rsidR="00065C1E" w:rsidRPr="0099157E">
        <w:rPr>
          <w:rFonts w:hint="cs"/>
          <w:rtl/>
        </w:rPr>
        <w:t xml:space="preserve"> </w:t>
      </w:r>
      <w:r w:rsidRPr="0099157E">
        <w:rPr>
          <w:rFonts w:hint="cs"/>
          <w:rtl/>
        </w:rPr>
        <w:t>31.12.13</w:t>
      </w:r>
      <w:r w:rsidR="00065C1E" w:rsidRPr="0099157E">
        <w:rPr>
          <w:rFonts w:hint="cs"/>
          <w:rtl/>
        </w:rPr>
        <w:t xml:space="preserve">, </w:t>
      </w:r>
      <w:r w:rsidRPr="0099157E">
        <w:rPr>
          <w:rFonts w:hint="cs"/>
          <w:rtl/>
        </w:rPr>
        <w:t xml:space="preserve">נדחתה (כב' השופט רובינשטיין) </w:t>
      </w:r>
      <w:proofErr w:type="spellStart"/>
      <w:r w:rsidRPr="0099157E">
        <w:rPr>
          <w:rFonts w:hint="cs"/>
          <w:rtl/>
        </w:rPr>
        <w:t>בר"ע</w:t>
      </w:r>
      <w:proofErr w:type="spellEnd"/>
      <w:r w:rsidRPr="0099157E">
        <w:rPr>
          <w:rFonts w:hint="cs"/>
          <w:rtl/>
        </w:rPr>
        <w:t xml:space="preserve"> על גובה הפיצוי שנפסק בפסק הדין המחוזי הנ"ל. לעניין הרכיב של לשון הרע שהוציא האיש, נקבע כי "אין כל תועלת בלשון הרע שהוציא המשיב... ולא קיים כל עניין ציבורי כהוא זה". אכן, דובר באותו מקרה בפרסום שנשלח לזרים במכוון כדי שהם עצמם יחשפו לו, וברי כי בנסיבות אלו, אין כל עניין ציבורי למנוע הטלת אחריות.</w:t>
      </w:r>
    </w:p>
    <w:p w:rsidR="00FE17CC" w:rsidRPr="0099157E" w:rsidRDefault="00FE17CC" w:rsidP="00FE17CC">
      <w:pPr>
        <w:pStyle w:val="af"/>
        <w:jc w:val="both"/>
      </w:pPr>
    </w:p>
    <w:p w:rsidR="00FE17CC" w:rsidRPr="0099157E" w:rsidRDefault="00FE17CC" w:rsidP="00FE17CC">
      <w:pPr>
        <w:pStyle w:val="af"/>
        <w:numPr>
          <w:ilvl w:val="0"/>
          <w:numId w:val="1"/>
        </w:numPr>
        <w:spacing w:line="360" w:lineRule="auto"/>
        <w:jc w:val="both"/>
        <w:rPr>
          <w:rtl/>
        </w:rPr>
      </w:pPr>
      <w:r w:rsidRPr="0099157E">
        <w:rPr>
          <w:rFonts w:hint="cs"/>
          <w:rtl/>
        </w:rPr>
        <w:t xml:space="preserve"> כך, גם פסק הדין שניתן </w:t>
      </w:r>
      <w:proofErr w:type="spellStart"/>
      <w:r w:rsidRPr="0099157E">
        <w:rPr>
          <w:rFonts w:hint="cs"/>
          <w:rtl/>
        </w:rPr>
        <w:t>בעמ"ש</w:t>
      </w:r>
      <w:proofErr w:type="spellEnd"/>
      <w:r w:rsidRPr="0099157E">
        <w:rPr>
          <w:rFonts w:hint="cs"/>
          <w:rtl/>
        </w:rPr>
        <w:t xml:space="preserve"> (תל אביב-יפו) 47311-10-13 </w:t>
      </w:r>
      <w:r w:rsidRPr="0099157E">
        <w:rPr>
          <w:rFonts w:hint="cs"/>
          <w:b/>
          <w:bCs/>
          <w:rtl/>
        </w:rPr>
        <w:t>פלוני נ' פלמונית</w:t>
      </w:r>
      <w:r w:rsidRPr="0099157E">
        <w:rPr>
          <w:rFonts w:hint="cs"/>
          <w:rtl/>
        </w:rPr>
        <w:t xml:space="preserve">, נבו, ניתן ביום 19.5.14, אינו רלבנטי לענייננו. באותו מקרה, שם נדון בין היתר מקרה של משלוח מעטפה למקום עבודת התובעת אשר כללה דברים </w:t>
      </w:r>
      <w:proofErr w:type="spellStart"/>
      <w:r w:rsidRPr="0099157E">
        <w:rPr>
          <w:rFonts w:hint="cs"/>
          <w:rtl/>
        </w:rPr>
        <w:t>דיבתיים</w:t>
      </w:r>
      <w:proofErr w:type="spellEnd"/>
      <w:r w:rsidRPr="0099157E">
        <w:rPr>
          <w:rFonts w:hint="cs"/>
          <w:rtl/>
        </w:rPr>
        <w:t>, בנ</w:t>
      </w:r>
      <w:r w:rsidR="00805732">
        <w:rPr>
          <w:rFonts w:hint="cs"/>
          <w:rtl/>
        </w:rPr>
        <w:t>י</w:t>
      </w:r>
      <w:r w:rsidRPr="0099157E">
        <w:rPr>
          <w:rFonts w:hint="cs"/>
          <w:rtl/>
        </w:rPr>
        <w:t>סיון לה</w:t>
      </w:r>
      <w:r w:rsidR="00805732">
        <w:rPr>
          <w:rFonts w:hint="cs"/>
          <w:rtl/>
        </w:rPr>
        <w:t>ביא לפיטוריה. בית המשפט קבע כי:</w:t>
      </w:r>
      <w:r w:rsidRPr="0099157E">
        <w:rPr>
          <w:rFonts w:hint="cs"/>
          <w:rtl/>
        </w:rPr>
        <w:t xml:space="preserve"> "הגנה זו [לפי סע' 13(5) לחוק – מ.ב.] אינה חלה על דברים שנאמרו מחוץ ללשכת ההוצאה לפועל, שאינם חלק מהדיון שנערך בלשכת ההוצאה לפועל, ועל ידי מי שכלל איננו בעל דין או עד, דוגמת א(2). אין מקום להחיל הגנה זו גם על קרובי משפחה של בעלי דין, אף </w:t>
      </w:r>
      <w:r w:rsidRPr="0099157E">
        <w:rPr>
          <w:rtl/>
        </w:rPr>
        <w:t xml:space="preserve">אם הם מלווים לדיון את בן משפחתם שהוא בעל דין. אין ממש בטענת המערערים כאילו הלכת </w:t>
      </w:r>
      <w:hyperlink r:id="rId28" w:history="1">
        <w:r w:rsidRPr="0099157E">
          <w:rPr>
            <w:rStyle w:val="Hyperlink"/>
            <w:rFonts w:ascii="David" w:hAnsi="David" w:cs="David"/>
            <w:color w:val="auto"/>
            <w:u w:val="none"/>
            <w:rtl/>
          </w:rPr>
          <w:t xml:space="preserve">רע"א 1104/07 עו"ד פואד </w:t>
        </w:r>
        <w:proofErr w:type="spellStart"/>
        <w:r w:rsidRPr="0099157E">
          <w:rPr>
            <w:rStyle w:val="Hyperlink"/>
            <w:rFonts w:ascii="David" w:hAnsi="David" w:cs="David"/>
            <w:color w:val="auto"/>
            <w:u w:val="none"/>
            <w:rtl/>
          </w:rPr>
          <w:t>חיר</w:t>
        </w:r>
        <w:proofErr w:type="spellEnd"/>
        <w:r w:rsidRPr="0099157E">
          <w:rPr>
            <w:rStyle w:val="Hyperlink"/>
            <w:rFonts w:ascii="David" w:hAnsi="David" w:cs="David"/>
            <w:color w:val="auto"/>
            <w:u w:val="none"/>
            <w:rtl/>
          </w:rPr>
          <w:t xml:space="preserve"> נ' עו"ד עודד גיל, פ"ד </w:t>
        </w:r>
        <w:proofErr w:type="spellStart"/>
        <w:r w:rsidRPr="0099157E">
          <w:rPr>
            <w:rStyle w:val="Hyperlink"/>
            <w:rFonts w:ascii="David" w:hAnsi="David" w:cs="David"/>
            <w:color w:val="auto"/>
            <w:u w:val="none"/>
            <w:rtl/>
          </w:rPr>
          <w:t>סג</w:t>
        </w:r>
        <w:proofErr w:type="spellEnd"/>
        <w:r w:rsidRPr="0099157E">
          <w:rPr>
            <w:rStyle w:val="Hyperlink"/>
            <w:rFonts w:ascii="David" w:hAnsi="David" w:cs="David"/>
            <w:color w:val="auto"/>
            <w:u w:val="none"/>
            <w:rtl/>
          </w:rPr>
          <w:t xml:space="preserve"> </w:t>
        </w:r>
      </w:hyperlink>
      <w:r w:rsidRPr="0099157E">
        <w:rPr>
          <w:rtl/>
        </w:rPr>
        <w:t xml:space="preserve"> (2) 511 (2009) מקנה חסינות מוחלטת לפרסום כגון דא. כל שנקבע באותה הלכה הוא שהחסינות המוחלטת תחול על כל דבר הנאמר באולמו של בית המשפט, אף אם לא היה דרוש לצורך הדיון ואף אם נאמר מתוך זדון לשמו. בשום אופן אין למצוא באותה הלכה הרחבה של החסינות גם למצבים כמו זה שאירע בענייננו" (פסקה 48). אם כן, גם במקרה זה נשלח הפרסום לזר במכוון כדי שהוא עצמו </w:t>
      </w:r>
      <w:proofErr w:type="spellStart"/>
      <w:r w:rsidRPr="0099157E">
        <w:rPr>
          <w:rtl/>
        </w:rPr>
        <w:t>יחשף</w:t>
      </w:r>
      <w:proofErr w:type="spellEnd"/>
      <w:r w:rsidRPr="0099157E">
        <w:rPr>
          <w:rtl/>
        </w:rPr>
        <w:t xml:space="preserve"> לו ולכן אין לגזור ממנו גזירה שווה לענייננו.</w:t>
      </w:r>
    </w:p>
    <w:p w:rsidR="00FE17CC" w:rsidRPr="0099157E" w:rsidRDefault="00FE17CC" w:rsidP="00FE17CC">
      <w:pPr>
        <w:pStyle w:val="af"/>
        <w:spacing w:line="360" w:lineRule="auto"/>
        <w:jc w:val="both"/>
        <w:rPr>
          <w:rtl/>
        </w:rPr>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סיכומו של דבר, דין התביעה להידחות היות והפרסום אינו מהווה עוולת לשון הרע בהיותו חוסה תחת החסינות המוחלטת הקבועה </w:t>
      </w:r>
      <w:proofErr w:type="spellStart"/>
      <w:r w:rsidRPr="0099157E">
        <w:rPr>
          <w:rFonts w:hint="cs"/>
          <w:rtl/>
        </w:rPr>
        <w:t>בסע</w:t>
      </w:r>
      <w:proofErr w:type="spellEnd"/>
      <w:r w:rsidRPr="0099157E">
        <w:rPr>
          <w:rFonts w:hint="cs"/>
          <w:rtl/>
        </w:rPr>
        <w:t xml:space="preserve">' 13(5) לחוק. הוא גם אינו מהווה עוולה של </w:t>
      </w:r>
      <w:r w:rsidRPr="0099157E">
        <w:rPr>
          <w:rFonts w:hint="cs"/>
          <w:rtl/>
        </w:rPr>
        <w:lastRenderedPageBreak/>
        <w:t>פגיעה בפרטיות לפי סע' 2(9) לחוק הגנת הפרטיות, שעניינו שימוש בידיעה על ענייניו הפרטיים של אדם או מסירתה לאחר</w:t>
      </w:r>
      <w:r w:rsidR="00065C1E" w:rsidRPr="0099157E">
        <w:rPr>
          <w:rFonts w:hint="cs"/>
          <w:rtl/>
        </w:rPr>
        <w:t>, שלא למטרה שלשמה נמסרה</w:t>
      </w:r>
      <w:r w:rsidRPr="0099157E">
        <w:rPr>
          <w:rFonts w:hint="cs"/>
          <w:rtl/>
        </w:rPr>
        <w:t xml:space="preserve">, והן לפי סע' 2(11) לחוק הגנת הפרטיות, שעניינו פרסומו של עניין הנוגע להצנעת חייו האישיים של אדם, וזאת היות והחסינות לפי סע' 13(5) לחוק איסור לשון הרע חלה גם ביחס לפגיעות בפרטיות, וזאת לפי סע' 18(1) לחוק הגנת הפרטיות. </w:t>
      </w:r>
    </w:p>
    <w:p w:rsidR="00FE17CC" w:rsidRPr="0099157E" w:rsidRDefault="00FE17CC" w:rsidP="00FE17CC">
      <w:pPr>
        <w:pStyle w:val="af"/>
        <w:jc w:val="both"/>
      </w:pPr>
    </w:p>
    <w:p w:rsidR="00FE17CC" w:rsidRPr="0099157E" w:rsidRDefault="00FE17CC" w:rsidP="00FE17CC">
      <w:pPr>
        <w:pStyle w:val="af"/>
        <w:spacing w:before="240" w:after="240" w:line="360" w:lineRule="auto"/>
        <w:jc w:val="both"/>
        <w:rPr>
          <w:rtl/>
        </w:rPr>
      </w:pPr>
    </w:p>
    <w:p w:rsidR="00FE17CC" w:rsidRPr="0099157E" w:rsidRDefault="00FE17CC" w:rsidP="00FE17CC">
      <w:pPr>
        <w:pStyle w:val="af"/>
        <w:ind w:left="368"/>
        <w:jc w:val="both"/>
        <w:rPr>
          <w:b/>
          <w:bCs/>
          <w:sz w:val="28"/>
          <w:szCs w:val="28"/>
          <w:u w:val="single"/>
        </w:rPr>
      </w:pPr>
      <w:r w:rsidRPr="0099157E">
        <w:rPr>
          <w:rFonts w:hint="cs"/>
          <w:b/>
          <w:bCs/>
          <w:sz w:val="28"/>
          <w:szCs w:val="28"/>
          <w:u w:val="single"/>
          <w:rtl/>
        </w:rPr>
        <w:t>שאלת קיום הגנות לפי סעיפים 14 ו-15 לחוק איסור לשון הרע</w:t>
      </w:r>
    </w:p>
    <w:p w:rsidR="00FE17CC" w:rsidRPr="0099157E" w:rsidRDefault="00FE17CC" w:rsidP="00FE17CC">
      <w:pPr>
        <w:pStyle w:val="af"/>
        <w:spacing w:before="240" w:after="240" w:line="360" w:lineRule="auto"/>
        <w:jc w:val="both"/>
        <w:rPr>
          <w:rtl/>
        </w:rPr>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הגם שסוגיית תחולת החסינות לפי סע' 13(5) לחוק </w:t>
      </w:r>
      <w:proofErr w:type="spellStart"/>
      <w:r w:rsidRPr="0099157E">
        <w:rPr>
          <w:rFonts w:hint="cs"/>
          <w:rtl/>
        </w:rPr>
        <w:t>היתה</w:t>
      </w:r>
      <w:proofErr w:type="spellEnd"/>
      <w:r w:rsidRPr="0099157E">
        <w:rPr>
          <w:rFonts w:hint="cs"/>
          <w:rtl/>
        </w:rPr>
        <w:t xml:space="preserve"> הסוגיה המרכזית בתיק, </w:t>
      </w:r>
      <w:r w:rsidR="00065C1E" w:rsidRPr="0099157E">
        <w:rPr>
          <w:rFonts w:hint="cs"/>
          <w:rtl/>
        </w:rPr>
        <w:t xml:space="preserve">וקבעתי כי חסינות זו חלה בענייננו, </w:t>
      </w:r>
      <w:r w:rsidRPr="0099157E">
        <w:rPr>
          <w:rFonts w:hint="cs"/>
          <w:rtl/>
        </w:rPr>
        <w:t>אדרש גם לבחינת הגנות שלהן טענה הנתבעת בכתב הגנתה.</w:t>
      </w:r>
    </w:p>
    <w:p w:rsidR="00FE17CC" w:rsidRPr="0099157E" w:rsidRDefault="00FE17CC" w:rsidP="00FE17CC">
      <w:pPr>
        <w:pStyle w:val="af"/>
        <w:spacing w:before="240" w:after="240" w:line="360" w:lineRule="auto"/>
        <w:jc w:val="both"/>
      </w:pPr>
    </w:p>
    <w:p w:rsidR="00FE17CC" w:rsidRPr="0099157E" w:rsidRDefault="00FE17CC" w:rsidP="00FE17CC">
      <w:pPr>
        <w:pStyle w:val="af"/>
        <w:spacing w:line="360" w:lineRule="auto"/>
        <w:ind w:left="651"/>
        <w:jc w:val="both"/>
        <w:rPr>
          <w:b/>
          <w:bCs/>
          <w:u w:val="single"/>
        </w:rPr>
      </w:pPr>
      <w:r w:rsidRPr="0099157E">
        <w:rPr>
          <w:rFonts w:hint="cs"/>
          <w:b/>
          <w:bCs/>
          <w:u w:val="single"/>
          <w:rtl/>
        </w:rPr>
        <w:t>שאלת קיום הגנת אמת בפרסום לפי סעיף 14 לחוק</w:t>
      </w:r>
    </w:p>
    <w:p w:rsidR="00FE17CC" w:rsidRPr="0099157E" w:rsidRDefault="00FE17CC" w:rsidP="00FE17CC">
      <w:pPr>
        <w:pStyle w:val="af"/>
        <w:spacing w:line="360" w:lineRule="auto"/>
        <w:ind w:left="651"/>
        <w:jc w:val="both"/>
        <w:rPr>
          <w:b/>
          <w:bCs/>
          <w:u w:val="single"/>
          <w:rtl/>
        </w:rPr>
      </w:pPr>
    </w:p>
    <w:p w:rsidR="00FE17CC" w:rsidRPr="0099157E" w:rsidRDefault="00FE17CC" w:rsidP="00FE17CC">
      <w:pPr>
        <w:pStyle w:val="af"/>
        <w:numPr>
          <w:ilvl w:val="0"/>
          <w:numId w:val="1"/>
        </w:numPr>
        <w:spacing w:before="240" w:after="240" w:line="360" w:lineRule="auto"/>
        <w:jc w:val="both"/>
      </w:pPr>
      <w:r w:rsidRPr="0099157E">
        <w:rPr>
          <w:rFonts w:hint="cs"/>
          <w:rtl/>
        </w:rPr>
        <w:t>הנתבעת טענה בכתב הגנתה כי עומדת לה טענת הגנת אמת בפרסום לפי סעיף 14 לחוק. בסיכומי בא כוחה לפניי נראה כי הטענה נזנחה בצדק. עם זאת, אבחן אותה לגופה.</w:t>
      </w:r>
    </w:p>
    <w:p w:rsidR="00FE17CC" w:rsidRPr="0099157E" w:rsidRDefault="00FE17CC" w:rsidP="00FE17CC">
      <w:pPr>
        <w:pStyle w:val="af"/>
        <w:spacing w:line="360" w:lineRule="auto"/>
        <w:ind w:left="651"/>
        <w:jc w:val="both"/>
      </w:pPr>
    </w:p>
    <w:p w:rsidR="00FE17CC" w:rsidRPr="0099157E" w:rsidRDefault="00FE17CC" w:rsidP="00FE17CC">
      <w:pPr>
        <w:pStyle w:val="af"/>
        <w:numPr>
          <w:ilvl w:val="0"/>
          <w:numId w:val="1"/>
        </w:numPr>
        <w:spacing w:before="240" w:after="240" w:line="360" w:lineRule="auto"/>
        <w:jc w:val="both"/>
      </w:pPr>
      <w:r w:rsidRPr="0099157E">
        <w:rPr>
          <w:rFonts w:hint="cs"/>
          <w:rtl/>
        </w:rPr>
        <w:t xml:space="preserve">סעיף 14 לחוק איסור לשון הרע קובע כי: </w:t>
      </w:r>
    </w:p>
    <w:p w:rsidR="00FE17CC" w:rsidRPr="0099157E" w:rsidRDefault="00FE17CC" w:rsidP="00FE17CC">
      <w:pPr>
        <w:spacing w:before="240" w:after="240" w:line="360" w:lineRule="auto"/>
        <w:ind w:left="1076" w:right="709"/>
        <w:jc w:val="both"/>
      </w:pPr>
      <w:r w:rsidRPr="0099157E">
        <w:rPr>
          <w:rFonts w:hint="cs"/>
          <w:rtl/>
        </w:rPr>
        <w:t>"במשפט פלילי או אזרחי בשל לשון הרע תהא זאת הגנה טובה שהדבר שפורסם היה אמת והיה בפרסום ענין ציבורי; הגנה זו לא תישלל בשל כך בלבד שלא הוכחה אמיתותו של פרט לוואי שאין בו פגיעה של ממש. הגנת תום לב".</w:t>
      </w:r>
    </w:p>
    <w:p w:rsidR="00FE17CC" w:rsidRPr="0099157E" w:rsidRDefault="00FE17CC" w:rsidP="00FE17CC">
      <w:pPr>
        <w:pStyle w:val="af"/>
        <w:numPr>
          <w:ilvl w:val="0"/>
          <w:numId w:val="1"/>
        </w:numPr>
        <w:spacing w:before="240" w:after="240" w:line="360" w:lineRule="auto"/>
        <w:jc w:val="both"/>
        <w:rPr>
          <w:rtl/>
        </w:rPr>
      </w:pPr>
      <w:r w:rsidRPr="0099157E">
        <w:rPr>
          <w:rFonts w:hint="cs"/>
          <w:rtl/>
        </w:rPr>
        <w:t xml:space="preserve">כדי להרים את הנטל המוטל עליה להוכחת הגנה זו, על הנתבעת להוכיח אפוא את קיומם של שני יסודות: אמיתות הפרסום וקיום עניין ציבורי בפרסום. הנתבעת לא הוכיחה אף תנאי מתנאים אלה. </w:t>
      </w:r>
    </w:p>
    <w:p w:rsidR="00FE17CC" w:rsidRPr="0099157E" w:rsidRDefault="00FE17CC" w:rsidP="00FE17CC">
      <w:pPr>
        <w:pStyle w:val="af"/>
        <w:jc w:val="both"/>
      </w:pPr>
    </w:p>
    <w:p w:rsidR="00FE17CC" w:rsidRPr="0099157E" w:rsidRDefault="00FE17CC" w:rsidP="00F73D56">
      <w:pPr>
        <w:pStyle w:val="af"/>
        <w:numPr>
          <w:ilvl w:val="0"/>
          <w:numId w:val="1"/>
        </w:numPr>
        <w:spacing w:before="240" w:after="240" w:line="360" w:lineRule="auto"/>
        <w:jc w:val="both"/>
        <w:rPr>
          <w:rtl/>
        </w:rPr>
      </w:pPr>
      <w:r w:rsidRPr="0099157E">
        <w:rPr>
          <w:rFonts w:hint="cs"/>
          <w:rtl/>
        </w:rPr>
        <w:t xml:space="preserve">הנתבעת טענה כי </w:t>
      </w:r>
      <w:proofErr w:type="spellStart"/>
      <w:r w:rsidRPr="0099157E">
        <w:rPr>
          <w:rFonts w:hint="cs"/>
          <w:rtl/>
        </w:rPr>
        <w:t>היתה</w:t>
      </w:r>
      <w:proofErr w:type="spellEnd"/>
      <w:r w:rsidRPr="0099157E">
        <w:rPr>
          <w:rFonts w:hint="cs"/>
          <w:rtl/>
        </w:rPr>
        <w:t xml:space="preserve"> בדיחה משפחתית שלתובע יש משפחה נוספת ב</w:t>
      </w:r>
      <w:r w:rsidR="000320EA">
        <w:rPr>
          <w:rFonts w:hint="cs"/>
          <w:rtl/>
        </w:rPr>
        <w:t>...</w:t>
      </w:r>
      <w:r w:rsidRPr="0099157E">
        <w:rPr>
          <w:rFonts w:hint="cs"/>
          <w:rtl/>
        </w:rPr>
        <w:t xml:space="preserve"> (עמ' 47). כמו  </w:t>
      </w:r>
      <w:r w:rsidR="00065C1E" w:rsidRPr="0099157E">
        <w:rPr>
          <w:rFonts w:hint="cs"/>
          <w:rtl/>
        </w:rPr>
        <w:t xml:space="preserve">כן, </w:t>
      </w:r>
      <w:r w:rsidRPr="0099157E">
        <w:rPr>
          <w:rFonts w:hint="cs"/>
          <w:rtl/>
        </w:rPr>
        <w:t xml:space="preserve">העידה מטעמה את הגב' </w:t>
      </w:r>
      <w:r w:rsidR="000320EA">
        <w:rPr>
          <w:rFonts w:hint="cs"/>
          <w:rtl/>
        </w:rPr>
        <w:t>...</w:t>
      </w:r>
      <w:r w:rsidRPr="0099157E">
        <w:rPr>
          <w:rFonts w:hint="cs"/>
          <w:rtl/>
        </w:rPr>
        <w:t xml:space="preserve"> שהעידה כי היא חברה של הנתבעת זה כמה שנים. לדברי העדה לאביה יש חברה ב</w:t>
      </w:r>
      <w:r w:rsidR="000320EA">
        <w:rPr>
          <w:rFonts w:hint="cs"/>
          <w:rtl/>
        </w:rPr>
        <w:t>...</w:t>
      </w:r>
      <w:r w:rsidRPr="0099157E">
        <w:rPr>
          <w:rFonts w:hint="cs"/>
          <w:rtl/>
        </w:rPr>
        <w:t xml:space="preserve"> שהוא נוסע אליה לחודש בשנה ו</w:t>
      </w:r>
      <w:r w:rsidR="00000099">
        <w:rPr>
          <w:rFonts w:hint="cs"/>
          <w:rtl/>
        </w:rPr>
        <w:t>הגרוש</w:t>
      </w:r>
      <w:r w:rsidRPr="0099157E">
        <w:rPr>
          <w:rFonts w:hint="cs"/>
          <w:rtl/>
        </w:rPr>
        <w:t xml:space="preserve"> סיפר בנוכחותה שקיימת בדיחה במשפחה כי גם לאביו, התובע, יש משפחה ב</w:t>
      </w:r>
      <w:r w:rsidR="000320EA">
        <w:rPr>
          <w:rFonts w:hint="cs"/>
          <w:rtl/>
        </w:rPr>
        <w:t>...</w:t>
      </w:r>
      <w:r w:rsidRPr="0099157E">
        <w:rPr>
          <w:rFonts w:hint="cs"/>
          <w:rtl/>
        </w:rPr>
        <w:t xml:space="preserve"> (עמ' 40 למטה ועמ' 41 למעלה). </w:t>
      </w:r>
      <w:r w:rsidR="00000099">
        <w:rPr>
          <w:rFonts w:hint="cs"/>
          <w:rtl/>
        </w:rPr>
        <w:t>הגרוש</w:t>
      </w:r>
      <w:r w:rsidRPr="0099157E">
        <w:rPr>
          <w:rFonts w:hint="cs"/>
          <w:rtl/>
        </w:rPr>
        <w:t xml:space="preserve"> שהעיד כעד תביעה שלל כי תיאר בדיחה משפחתית כזו, וטען כי לא יכול היה להתבדח בנושא כה כאוב לגב' </w:t>
      </w:r>
      <w:r w:rsidR="000320EA">
        <w:rPr>
          <w:rFonts w:hint="cs"/>
          <w:rtl/>
        </w:rPr>
        <w:t>...</w:t>
      </w:r>
      <w:r w:rsidRPr="0099157E">
        <w:rPr>
          <w:rFonts w:hint="cs"/>
          <w:rtl/>
        </w:rPr>
        <w:t xml:space="preserve"> בדרך כזו (עמ' 30 ועמ' 31 למעלה). התובע טען כי לא שמע על בדיחה משפחתית כזו (עמ' 10, </w:t>
      </w:r>
      <w:proofErr w:type="spellStart"/>
      <w:r w:rsidRPr="0099157E">
        <w:rPr>
          <w:rFonts w:hint="cs"/>
          <w:rtl/>
        </w:rPr>
        <w:t>בש</w:t>
      </w:r>
      <w:proofErr w:type="spellEnd"/>
      <w:r w:rsidRPr="0099157E">
        <w:rPr>
          <w:rFonts w:hint="cs"/>
          <w:rtl/>
        </w:rPr>
        <w:t xml:space="preserve">' 5-4), כי התחיל לנסוע לחו"ל רק מגיל </w:t>
      </w:r>
      <w:r w:rsidR="00805732">
        <w:rPr>
          <w:rFonts w:hint="cs"/>
          <w:rtl/>
        </w:rPr>
        <w:t>...</w:t>
      </w:r>
      <w:r w:rsidRPr="0099157E">
        <w:rPr>
          <w:rFonts w:hint="cs"/>
          <w:rtl/>
        </w:rPr>
        <w:t xml:space="preserve"> שנים לערך (עמ</w:t>
      </w:r>
      <w:r w:rsidR="000320EA">
        <w:rPr>
          <w:rFonts w:hint="cs"/>
          <w:rtl/>
        </w:rPr>
        <w:t xml:space="preserve">' 11 </w:t>
      </w:r>
      <w:proofErr w:type="spellStart"/>
      <w:r w:rsidR="000320EA">
        <w:rPr>
          <w:rFonts w:hint="cs"/>
          <w:rtl/>
        </w:rPr>
        <w:t>בש</w:t>
      </w:r>
      <w:proofErr w:type="spellEnd"/>
      <w:r w:rsidR="000320EA">
        <w:rPr>
          <w:rFonts w:hint="cs"/>
          <w:rtl/>
        </w:rPr>
        <w:t>' 24-17), וכי נסע ל...</w:t>
      </w:r>
      <w:r w:rsidRPr="0099157E">
        <w:rPr>
          <w:rFonts w:hint="cs"/>
          <w:rtl/>
        </w:rPr>
        <w:t xml:space="preserve"> כדי לשהות בה פעם בודדת, ובשאר המקרים, הוא עצר ב</w:t>
      </w:r>
      <w:r w:rsidR="000320EA">
        <w:rPr>
          <w:rFonts w:hint="cs"/>
          <w:rtl/>
        </w:rPr>
        <w:t>...</w:t>
      </w:r>
      <w:r w:rsidR="00986C12">
        <w:rPr>
          <w:rFonts w:hint="cs"/>
          <w:rtl/>
        </w:rPr>
        <w:t xml:space="preserve"> כתחנת מעבר ליעד הבא</w:t>
      </w:r>
      <w:r w:rsidRPr="0099157E">
        <w:rPr>
          <w:rFonts w:hint="cs"/>
          <w:rtl/>
        </w:rPr>
        <w:t xml:space="preserve"> (עמ' 13). גם מעדות רעייתו עלתה תמונה דומה (היא ציינה כי הוא נסע ל</w:t>
      </w:r>
      <w:r w:rsidR="000320EA">
        <w:rPr>
          <w:rFonts w:hint="cs"/>
          <w:rtl/>
        </w:rPr>
        <w:t>...</w:t>
      </w:r>
      <w:r w:rsidRPr="0099157E">
        <w:rPr>
          <w:rFonts w:hint="cs"/>
          <w:rtl/>
        </w:rPr>
        <w:t xml:space="preserve"> פעמיים - ראו </w:t>
      </w:r>
      <w:r w:rsidRPr="0099157E">
        <w:rPr>
          <w:rFonts w:hint="cs"/>
          <w:rtl/>
        </w:rPr>
        <w:lastRenderedPageBreak/>
        <w:t>עדותה בעמ' 38 למעלה). עובדה זו לא נסתרה על ידי הנתבעת. מכאן שככל ו</w:t>
      </w:r>
      <w:r w:rsidR="00000099">
        <w:rPr>
          <w:rFonts w:hint="cs"/>
          <w:rtl/>
        </w:rPr>
        <w:t>הגרוש</w:t>
      </w:r>
      <w:r w:rsidRPr="0099157E">
        <w:rPr>
          <w:rFonts w:hint="cs"/>
          <w:rtl/>
        </w:rPr>
        <w:t xml:space="preserve"> </w:t>
      </w:r>
      <w:r w:rsidR="00F73D56">
        <w:rPr>
          <w:rFonts w:hint="cs"/>
          <w:rtl/>
        </w:rPr>
        <w:t xml:space="preserve">סיפר </w:t>
      </w:r>
      <w:r w:rsidRPr="0099157E">
        <w:rPr>
          <w:rFonts w:hint="cs"/>
          <w:rtl/>
        </w:rPr>
        <w:t>את הדברים בעניין "הבדיחה", הרי שהדבר נאמר על דרך ההלצה</w:t>
      </w:r>
      <w:r w:rsidR="00DC0198" w:rsidRPr="0099157E">
        <w:rPr>
          <w:rFonts w:hint="cs"/>
          <w:rtl/>
        </w:rPr>
        <w:t>,</w:t>
      </w:r>
      <w:r w:rsidRPr="0099157E">
        <w:rPr>
          <w:rFonts w:hint="cs"/>
          <w:rtl/>
        </w:rPr>
        <w:t xml:space="preserve"> כנראה פעם אחת, אך לא מצאתי תשתית לכך </w:t>
      </w:r>
      <w:proofErr w:type="spellStart"/>
      <w:r w:rsidRPr="0099157E">
        <w:rPr>
          <w:rFonts w:hint="cs"/>
          <w:rtl/>
        </w:rPr>
        <w:t>שהיתה</w:t>
      </w:r>
      <w:proofErr w:type="spellEnd"/>
      <w:r w:rsidRPr="0099157E">
        <w:rPr>
          <w:rFonts w:hint="cs"/>
          <w:rtl/>
        </w:rPr>
        <w:t xml:space="preserve"> בדיחה שגורה במשפחה בהקשר זה. אוסיף, כי הוברר כי קיימים יחסי מרות בעבודה בין הנתבעת לגב' </w:t>
      </w:r>
      <w:r w:rsidR="000320EA">
        <w:rPr>
          <w:rFonts w:hint="cs"/>
          <w:rtl/>
        </w:rPr>
        <w:t>...</w:t>
      </w:r>
      <w:r w:rsidRPr="0099157E">
        <w:rPr>
          <w:rFonts w:hint="cs"/>
          <w:rtl/>
        </w:rPr>
        <w:t xml:space="preserve"> (הנתבעת מכהנת בתפקיד ניהולי, סגנית של מנהל שלו כפופה הגב' </w:t>
      </w:r>
      <w:r w:rsidR="00F73D56">
        <w:rPr>
          <w:rFonts w:hint="cs"/>
          <w:rtl/>
        </w:rPr>
        <w:t>...</w:t>
      </w:r>
      <w:r w:rsidRPr="0099157E">
        <w:rPr>
          <w:rFonts w:hint="cs"/>
          <w:rtl/>
        </w:rPr>
        <w:t xml:space="preserve"> – ראו עדות הגב' </w:t>
      </w:r>
      <w:r w:rsidR="000320EA">
        <w:rPr>
          <w:rFonts w:hint="cs"/>
          <w:rtl/>
        </w:rPr>
        <w:t>...</w:t>
      </w:r>
      <w:r w:rsidRPr="0099157E">
        <w:rPr>
          <w:rFonts w:hint="cs"/>
          <w:rtl/>
        </w:rPr>
        <w:t xml:space="preserve"> בעמ' 43 למטה ועמ' 44), ומבחינה זו, יש לשקול את עדותה בזהירות המתבקשת.</w:t>
      </w:r>
    </w:p>
    <w:p w:rsidR="00FE17CC" w:rsidRPr="0099157E" w:rsidRDefault="00FE17CC" w:rsidP="00FE17CC">
      <w:pPr>
        <w:pStyle w:val="af"/>
        <w:jc w:val="both"/>
      </w:pPr>
    </w:p>
    <w:p w:rsidR="00FE17CC" w:rsidRPr="0099157E" w:rsidRDefault="00FE17CC" w:rsidP="00DC0198">
      <w:pPr>
        <w:pStyle w:val="af"/>
        <w:numPr>
          <w:ilvl w:val="0"/>
          <w:numId w:val="1"/>
        </w:numPr>
        <w:spacing w:before="240" w:after="240" w:line="360" w:lineRule="auto"/>
        <w:jc w:val="both"/>
        <w:rPr>
          <w:rtl/>
        </w:rPr>
      </w:pPr>
      <w:r w:rsidRPr="0099157E">
        <w:rPr>
          <w:rFonts w:hint="cs"/>
          <w:rtl/>
        </w:rPr>
        <w:t xml:space="preserve"> הנתבעת טענה עוד בהקשר לטענתה בדבר אמיתות הפרסום כי </w:t>
      </w:r>
      <w:r w:rsidR="00000099">
        <w:rPr>
          <w:rFonts w:hint="cs"/>
          <w:rtl/>
        </w:rPr>
        <w:t>הגרוש</w:t>
      </w:r>
      <w:r w:rsidRPr="0099157E">
        <w:rPr>
          <w:rFonts w:hint="cs"/>
          <w:rtl/>
        </w:rPr>
        <w:t xml:space="preserve"> שיתפה כי סבל בילדותו מיחס קשה מצד התובע, אשר לא גילה כלפיו אהבה, ועקב כך ייחס קשיים שלו ליחס זה (עדות הנתבעת בעמ' 48, </w:t>
      </w:r>
      <w:proofErr w:type="spellStart"/>
      <w:r w:rsidRPr="0099157E">
        <w:rPr>
          <w:rFonts w:hint="cs"/>
          <w:rtl/>
        </w:rPr>
        <w:t>בש</w:t>
      </w:r>
      <w:proofErr w:type="spellEnd"/>
      <w:r w:rsidRPr="0099157E">
        <w:rPr>
          <w:rFonts w:hint="cs"/>
          <w:rtl/>
        </w:rPr>
        <w:t xml:space="preserve">' 15-1).  דא עקא, </w:t>
      </w:r>
      <w:r w:rsidR="00DC0198" w:rsidRPr="0099157E">
        <w:rPr>
          <w:rFonts w:hint="cs"/>
          <w:rtl/>
        </w:rPr>
        <w:t>גם לטענה זו לא הונחה תשתית לצורך קביעת ממצאים, ומכאן, ש</w:t>
      </w:r>
      <w:r w:rsidRPr="0099157E">
        <w:rPr>
          <w:rFonts w:hint="cs"/>
          <w:rtl/>
        </w:rPr>
        <w:t xml:space="preserve">אין בידי לקבוע ממצא כי יש אמת בדברים בהקשר זה בפרסום, אף כי גם לא ניתן לשלול את הדברים, ואולם הנטל הוא על הנתבעת. </w:t>
      </w:r>
    </w:p>
    <w:p w:rsidR="00FE17CC" w:rsidRPr="0099157E" w:rsidRDefault="00FE17CC" w:rsidP="00FE17CC">
      <w:pPr>
        <w:pStyle w:val="af"/>
        <w:jc w:val="both"/>
      </w:pPr>
    </w:p>
    <w:p w:rsidR="00FE17CC" w:rsidRPr="0099157E" w:rsidRDefault="00FE17CC" w:rsidP="00FE17CC">
      <w:pPr>
        <w:pStyle w:val="af"/>
        <w:numPr>
          <w:ilvl w:val="0"/>
          <w:numId w:val="1"/>
        </w:numPr>
        <w:spacing w:before="240" w:after="240" w:line="360" w:lineRule="auto"/>
        <w:jc w:val="both"/>
        <w:rPr>
          <w:rtl/>
        </w:rPr>
      </w:pPr>
      <w:r w:rsidRPr="0099157E">
        <w:rPr>
          <w:rFonts w:hint="cs"/>
          <w:rtl/>
        </w:rPr>
        <w:t>כך או כך, גם אם הייתי קובעת כי הוכחה אמיתות הפ</w:t>
      </w:r>
      <w:r w:rsidR="00DC0198" w:rsidRPr="0099157E">
        <w:rPr>
          <w:rFonts w:hint="cs"/>
          <w:rtl/>
        </w:rPr>
        <w:t>ר</w:t>
      </w:r>
      <w:r w:rsidRPr="0099157E">
        <w:rPr>
          <w:rFonts w:hint="cs"/>
          <w:rtl/>
        </w:rPr>
        <w:t xml:space="preserve">סום, הרי שלא מתקיים היסוד השני של עניין ציבורי. הפסיקה קובעת כי לא די בהוכחת התעניינות מצד הציבור בנושא הפרסום; שאם היינו אומרים כן, דומה כי דברי רכילות, שיש בהם כדי להשפיל ולבזות אדם </w:t>
      </w:r>
      <w:proofErr w:type="spellStart"/>
      <w:r w:rsidRPr="0099157E">
        <w:rPr>
          <w:rFonts w:hint="cs"/>
          <w:rtl/>
        </w:rPr>
        <w:t>ולהלעיגו</w:t>
      </w:r>
      <w:proofErr w:type="spellEnd"/>
      <w:r w:rsidRPr="0099157E">
        <w:rPr>
          <w:rFonts w:hint="cs"/>
          <w:rtl/>
        </w:rPr>
        <w:t xml:space="preserve"> בעיני הציבור, היו זוכים להגנת החוק, בהנחה </w:t>
      </w:r>
      <w:proofErr w:type="spellStart"/>
      <w:r w:rsidRPr="0099157E">
        <w:rPr>
          <w:rFonts w:hint="cs"/>
          <w:rtl/>
        </w:rPr>
        <w:t>שהיתה</w:t>
      </w:r>
      <w:proofErr w:type="spellEnd"/>
      <w:r w:rsidRPr="0099157E">
        <w:rPr>
          <w:rFonts w:hint="cs"/>
          <w:rtl/>
        </w:rPr>
        <w:t xml:space="preserve"> מוכחת </w:t>
      </w:r>
      <w:proofErr w:type="spellStart"/>
      <w:r w:rsidRPr="0099157E">
        <w:rPr>
          <w:rFonts w:hint="cs"/>
          <w:rtl/>
        </w:rPr>
        <w:t>אמיתותם</w:t>
      </w:r>
      <w:proofErr w:type="spellEnd"/>
      <w:r w:rsidRPr="0099157E">
        <w:rPr>
          <w:rFonts w:hint="cs"/>
          <w:rtl/>
        </w:rPr>
        <w:t xml:space="preserve">. נדרש להוכיח כי </w:t>
      </w:r>
      <w:r w:rsidRPr="0099157E">
        <w:rPr>
          <w:rFonts w:hint="cs"/>
          <w:b/>
          <w:bCs/>
          <w:rtl/>
        </w:rPr>
        <w:t>חשיפת המידע משרתת אינטרס חברתי, במובן זה שהיא מועילה לציבור בגיבוש עמדה בעניינים ציבוריים או לצורך שיפור אורחות חייו</w:t>
      </w:r>
      <w:r w:rsidRPr="0099157E">
        <w:rPr>
          <w:rFonts w:hint="cs"/>
          <w:rtl/>
        </w:rPr>
        <w:t xml:space="preserve">. וכפי שנקבע </w:t>
      </w:r>
      <w:proofErr w:type="spellStart"/>
      <w:r w:rsidRPr="0099157E">
        <w:rPr>
          <w:rFonts w:hint="cs"/>
          <w:rtl/>
        </w:rPr>
        <w:t>בעמ"ש</w:t>
      </w:r>
      <w:proofErr w:type="spellEnd"/>
      <w:r w:rsidRPr="0099157E">
        <w:rPr>
          <w:rFonts w:hint="cs"/>
          <w:rtl/>
        </w:rPr>
        <w:t xml:space="preserve"> </w:t>
      </w:r>
      <w:r w:rsidRPr="0099157E">
        <w:rPr>
          <w:rFonts w:hint="cs"/>
          <w:color w:val="000000"/>
          <w:rtl/>
        </w:rPr>
        <w:t>(ת"א) 47311-10-13‏  </w:t>
      </w:r>
      <w:r w:rsidRPr="0099157E">
        <w:rPr>
          <w:rFonts w:hint="cs"/>
          <w:b/>
          <w:bCs/>
          <w:color w:val="000000"/>
          <w:rtl/>
        </w:rPr>
        <w:t>פלוני</w:t>
      </w:r>
      <w:r w:rsidRPr="0099157E">
        <w:rPr>
          <w:rFonts w:hint="cs"/>
          <w:color w:val="000000"/>
          <w:rtl/>
        </w:rPr>
        <w:t xml:space="preserve"> נ' </w:t>
      </w:r>
      <w:r w:rsidRPr="0099157E">
        <w:rPr>
          <w:rFonts w:hint="cs"/>
          <w:b/>
          <w:bCs/>
          <w:color w:val="000000"/>
          <w:rtl/>
        </w:rPr>
        <w:t>פלמונית</w:t>
      </w:r>
      <w:r w:rsidRPr="0099157E">
        <w:rPr>
          <w:rFonts w:hint="cs"/>
          <w:color w:val="000000"/>
          <w:rtl/>
        </w:rPr>
        <w:t>, נבו, ניתן ביום 19.05.2014:</w:t>
      </w:r>
    </w:p>
    <w:p w:rsidR="00FE17CC" w:rsidRPr="0099157E" w:rsidRDefault="00FE17CC" w:rsidP="00FE17CC">
      <w:pPr>
        <w:spacing w:before="240" w:after="240" w:line="360" w:lineRule="auto"/>
        <w:ind w:left="1076" w:right="567"/>
        <w:jc w:val="both"/>
        <w:rPr>
          <w:b/>
          <w:bCs/>
          <w:rtl/>
        </w:rPr>
      </w:pPr>
      <w:r w:rsidRPr="0099157E">
        <w:rPr>
          <w:rFonts w:hint="cs"/>
          <w:b/>
          <w:bCs/>
          <w:rtl/>
        </w:rPr>
        <w:t>"</w:t>
      </w:r>
      <w:r w:rsidRPr="0099157E">
        <w:rPr>
          <w:rFonts w:hint="cs"/>
          <w:rtl/>
        </w:rPr>
        <w:t xml:space="preserve">ענין ציבורי בפרסום משמעו אינטרס ציבורי בפרסום (א' שנהר, דיני לשון הרע, ע' 225). מקובל ליישם בעניין זה את המבחן המכונה "מבחן התועלת": </w:t>
      </w:r>
    </w:p>
    <w:p w:rsidR="00FE17CC" w:rsidRPr="0099157E" w:rsidRDefault="00FE17CC" w:rsidP="00FE17CC">
      <w:pPr>
        <w:spacing w:before="240" w:after="240" w:line="360" w:lineRule="auto"/>
        <w:ind w:left="1076" w:right="567"/>
        <w:jc w:val="both"/>
        <w:rPr>
          <w:b/>
          <w:bCs/>
        </w:rPr>
      </w:pPr>
      <w:r w:rsidRPr="0099157E">
        <w:rPr>
          <w:rFonts w:hint="cs"/>
          <w:b/>
          <w:bCs/>
          <w:rtl/>
        </w:rPr>
        <w:t>"השאלה באיזו מידה קיים אינטרס חברתי בחשיפת המידע הנכון אודות הפרט מוכרעת על פי "מבחן התועלת" שהציע פרופ' זאב סגל ואומץ על ידי הפסיקה. המבחן קובע, כי "'עניין ציבורי' המצדיק פגיעה בפרטיות אדם על-ידי פרסום הינו עניין שיש לציבור תועלת בידיעתו, אם לשם גיבוש דעתו בענינים ציבוריים ואם לשם שיפור אורחות חייו". (</w:t>
      </w:r>
      <w:r w:rsidRPr="0099157E">
        <w:rPr>
          <w:rFonts w:hint="cs"/>
          <w:b/>
          <w:bCs/>
          <w:u w:val="single"/>
          <w:rtl/>
        </w:rPr>
        <w:t>שם</w:t>
      </w:r>
      <w:r w:rsidRPr="0099157E">
        <w:rPr>
          <w:rFonts w:hint="cs"/>
          <w:b/>
          <w:bCs/>
          <w:rtl/>
        </w:rPr>
        <w:t>, ע' 228).</w:t>
      </w:r>
    </w:p>
    <w:p w:rsidR="00FE17CC" w:rsidRPr="0099157E" w:rsidRDefault="00FE17CC" w:rsidP="00FE17CC">
      <w:pPr>
        <w:spacing w:before="240" w:after="240" w:line="360" w:lineRule="auto"/>
        <w:ind w:left="1076" w:right="567"/>
        <w:jc w:val="both"/>
        <w:rPr>
          <w:b/>
          <w:bCs/>
          <w:rtl/>
        </w:rPr>
      </w:pPr>
      <w:r w:rsidRPr="0099157E">
        <w:rPr>
          <w:rFonts w:hint="cs"/>
          <w:rtl/>
        </w:rPr>
        <w:t xml:space="preserve"> במילים אחרות, עניין ציבורי הוא </w:t>
      </w:r>
      <w:r w:rsidRPr="0099157E">
        <w:rPr>
          <w:rFonts w:hint="cs"/>
          <w:b/>
          <w:bCs/>
          <w:rtl/>
        </w:rPr>
        <w:t xml:space="preserve">"עניין שידיעתו ברבים רלוונטית להגשמת מטרה ציבורית או שיש לציבור תועלת בידיעה לגביו ...". </w:t>
      </w:r>
    </w:p>
    <w:p w:rsidR="00FE17CC" w:rsidRPr="0099157E" w:rsidRDefault="00FE17CC" w:rsidP="00FE17CC">
      <w:pPr>
        <w:spacing w:before="240" w:after="240" w:line="360" w:lineRule="auto"/>
        <w:ind w:left="1076" w:right="567"/>
        <w:jc w:val="both"/>
        <w:rPr>
          <w:rtl/>
        </w:rPr>
      </w:pPr>
      <w:r w:rsidRPr="0099157E">
        <w:rPr>
          <w:rFonts w:hint="cs"/>
          <w:rtl/>
        </w:rPr>
        <w:t xml:space="preserve">(ע"א 751/10 </w:t>
      </w:r>
      <w:r w:rsidRPr="0099157E">
        <w:rPr>
          <w:rFonts w:hint="cs"/>
          <w:b/>
          <w:bCs/>
          <w:u w:val="single"/>
          <w:rtl/>
        </w:rPr>
        <w:t>פלוני נ' אילנה דיין -אורבך</w:t>
      </w:r>
      <w:r w:rsidRPr="0099157E">
        <w:rPr>
          <w:rFonts w:hint="cs"/>
          <w:rtl/>
        </w:rPr>
        <w:t xml:space="preserve">  (פורסם בנבו, 08.02.2012) (פיסקה 101). ראה גם ע"א 439/88 </w:t>
      </w:r>
      <w:r w:rsidRPr="0099157E">
        <w:rPr>
          <w:rFonts w:hint="cs"/>
          <w:b/>
          <w:bCs/>
          <w:rtl/>
        </w:rPr>
        <w:t>רשם מאגרי מידע נ' ונטורה</w:t>
      </w:r>
      <w:r w:rsidRPr="0099157E">
        <w:rPr>
          <w:rFonts w:hint="cs"/>
          <w:rtl/>
        </w:rPr>
        <w:t xml:space="preserve">, פ"ד מח(3) 808, 826 (1994); רע"א 3614/97 </w:t>
      </w:r>
      <w:r w:rsidRPr="0099157E">
        <w:rPr>
          <w:rFonts w:hint="cs"/>
          <w:b/>
          <w:bCs/>
          <w:rtl/>
        </w:rPr>
        <w:t>אבי יצחק נ' חברת החדשות הישראלית בע"מ</w:t>
      </w:r>
      <w:r w:rsidRPr="0099157E">
        <w:rPr>
          <w:rFonts w:hint="cs"/>
          <w:rtl/>
        </w:rPr>
        <w:t>, פ"ד נג(1) 26, 57-56 (1998))" (פסקה 59; ההדגשות במקור).</w:t>
      </w:r>
    </w:p>
    <w:p w:rsidR="00FE17CC" w:rsidRPr="0099157E" w:rsidRDefault="00FE17CC" w:rsidP="00FE17CC">
      <w:pPr>
        <w:pStyle w:val="af"/>
        <w:numPr>
          <w:ilvl w:val="0"/>
          <w:numId w:val="1"/>
        </w:numPr>
        <w:spacing w:before="240" w:after="240" w:line="360" w:lineRule="auto"/>
        <w:jc w:val="both"/>
        <w:rPr>
          <w:rtl/>
        </w:rPr>
      </w:pPr>
      <w:r w:rsidRPr="0099157E">
        <w:rPr>
          <w:rFonts w:hint="cs"/>
          <w:rtl/>
        </w:rPr>
        <w:lastRenderedPageBreak/>
        <w:t>במקרה דנן, למותר לציין, אין עם כל הכבוד כל עניין ציבורי בפרסום. ואכן, נשאלת השאלה איזו תועלת יכולה לצמוח לציבור לעניין גיבוש עמדה בעניינים ציבוריים או לצורך שיפור אורחות חייו, כתוצאה מה</w:t>
      </w:r>
      <w:r w:rsidR="00DC0198" w:rsidRPr="0099157E">
        <w:rPr>
          <w:rFonts w:hint="cs"/>
          <w:rtl/>
        </w:rPr>
        <w:t>י</w:t>
      </w:r>
      <w:r w:rsidRPr="0099157E">
        <w:rPr>
          <w:rFonts w:hint="cs"/>
          <w:rtl/>
        </w:rPr>
        <w:t>חשפות לתכונות ולהתנהלות המיוחסות לתובע – אופיו הקשה ובוגדנותו</w:t>
      </w:r>
      <w:r w:rsidR="00DC0198" w:rsidRPr="0099157E">
        <w:rPr>
          <w:rFonts w:hint="cs"/>
          <w:rtl/>
        </w:rPr>
        <w:t xml:space="preserve"> הנטענת או הנרמזת</w:t>
      </w:r>
      <w:r w:rsidRPr="0099157E">
        <w:rPr>
          <w:rFonts w:hint="cs"/>
          <w:rtl/>
        </w:rPr>
        <w:t>. התשובה היא כי שום תועלת כזו לא כרוכה בפרסום, ולפיכך, לא מתקיים היסוד של "עניין ציבורי".</w:t>
      </w:r>
    </w:p>
    <w:p w:rsidR="00FE17CC" w:rsidRPr="0099157E" w:rsidRDefault="00FE17CC" w:rsidP="00FE17CC">
      <w:pPr>
        <w:pStyle w:val="af"/>
        <w:jc w:val="both"/>
      </w:pPr>
    </w:p>
    <w:p w:rsidR="00FE17CC" w:rsidRPr="0099157E" w:rsidRDefault="00FE17CC" w:rsidP="00FE17CC">
      <w:pPr>
        <w:pStyle w:val="af"/>
        <w:spacing w:before="240" w:after="240" w:line="360" w:lineRule="auto"/>
        <w:jc w:val="both"/>
        <w:rPr>
          <w:b/>
          <w:bCs/>
          <w:u w:val="single"/>
          <w:rtl/>
        </w:rPr>
      </w:pPr>
      <w:r w:rsidRPr="0099157E">
        <w:rPr>
          <w:rFonts w:hint="cs"/>
          <w:b/>
          <w:bCs/>
          <w:u w:val="single"/>
          <w:rtl/>
        </w:rPr>
        <w:t>שאלת תחולת ההגנה לפי סע' 15 לחוק</w:t>
      </w:r>
    </w:p>
    <w:p w:rsidR="00FE17CC" w:rsidRPr="0099157E" w:rsidRDefault="00FE17CC" w:rsidP="00FE17CC">
      <w:pPr>
        <w:pStyle w:val="af"/>
        <w:spacing w:before="240" w:after="240" w:line="360" w:lineRule="auto"/>
        <w:jc w:val="both"/>
        <w:rPr>
          <w:b/>
          <w:bCs/>
          <w:u w:val="single"/>
          <w:rtl/>
        </w:rPr>
      </w:pPr>
    </w:p>
    <w:p w:rsidR="00FE17CC" w:rsidRPr="0099157E" w:rsidRDefault="00FE17CC" w:rsidP="00FE17CC">
      <w:pPr>
        <w:pStyle w:val="af"/>
        <w:numPr>
          <w:ilvl w:val="0"/>
          <w:numId w:val="1"/>
        </w:numPr>
        <w:spacing w:before="240" w:after="240" w:line="360" w:lineRule="auto"/>
        <w:jc w:val="both"/>
        <w:rPr>
          <w:rtl/>
        </w:rPr>
      </w:pPr>
      <w:r w:rsidRPr="0099157E">
        <w:rPr>
          <w:rFonts w:hint="cs"/>
          <w:rtl/>
        </w:rPr>
        <w:t>הנתבעת טוענת עוד כי עומדת לה גם הגנת תום הלב לפי סע' 15(1) ו-15(3) לחוק איסור לשון הרע.</w:t>
      </w:r>
    </w:p>
    <w:p w:rsidR="00FE17CC" w:rsidRPr="0099157E" w:rsidRDefault="00FE17CC" w:rsidP="00FE17CC">
      <w:pPr>
        <w:pStyle w:val="af"/>
        <w:spacing w:before="240" w:after="240" w:line="360" w:lineRule="auto"/>
        <w:jc w:val="both"/>
      </w:pPr>
    </w:p>
    <w:p w:rsidR="00FE17CC" w:rsidRPr="0099157E" w:rsidRDefault="00FE17CC" w:rsidP="00FE17CC">
      <w:pPr>
        <w:pStyle w:val="af"/>
        <w:numPr>
          <w:ilvl w:val="0"/>
          <w:numId w:val="1"/>
        </w:numPr>
        <w:tabs>
          <w:tab w:val="left" w:pos="1076"/>
        </w:tabs>
        <w:spacing w:after="160" w:line="360" w:lineRule="auto"/>
        <w:jc w:val="both"/>
      </w:pPr>
      <w:r w:rsidRPr="0099157E">
        <w:rPr>
          <w:rFonts w:hint="cs"/>
          <w:rtl/>
        </w:rPr>
        <w:t xml:space="preserve">סעיף 15 לחוק, שכותרתו "הגנת תום לב" קובע, כי נתבע בלשון הרע יוכל ליהנות מאחת </w:t>
      </w:r>
      <w:r w:rsidR="00DC0198" w:rsidRPr="0099157E">
        <w:rPr>
          <w:rtl/>
        </w:rPr>
        <w:br/>
      </w:r>
      <w:r w:rsidRPr="0099157E">
        <w:rPr>
          <w:rFonts w:hint="cs"/>
          <w:rtl/>
        </w:rPr>
        <w:t xml:space="preserve">מ-12 </w:t>
      </w:r>
      <w:proofErr w:type="spellStart"/>
      <w:r w:rsidRPr="0099157E">
        <w:rPr>
          <w:rFonts w:hint="cs"/>
          <w:rtl/>
        </w:rPr>
        <w:t>ההגנות</w:t>
      </w:r>
      <w:proofErr w:type="spellEnd"/>
      <w:r w:rsidRPr="0099157E">
        <w:rPr>
          <w:rFonts w:hint="cs"/>
          <w:rtl/>
        </w:rPr>
        <w:t xml:space="preserve"> הקבועות בו, אם עשה את הפרסום בתום לב. כלומר, נדרשים שני תנאים מצטברים: התנאי הראשון הוא שהנתבע עשה את הפרסום בתום לב והתנאי השני הוא שהנתבע יוכל להצביע על כך שעשה את הפרסום באחת מן הנסיבות שבסעיף 15. </w:t>
      </w:r>
    </w:p>
    <w:p w:rsidR="00FE17CC" w:rsidRPr="0099157E" w:rsidRDefault="00FE17CC" w:rsidP="00FE17CC">
      <w:pPr>
        <w:pStyle w:val="af"/>
        <w:ind w:left="651"/>
        <w:jc w:val="both"/>
      </w:pPr>
    </w:p>
    <w:p w:rsidR="00FE17CC" w:rsidRPr="0099157E" w:rsidRDefault="00FE17CC" w:rsidP="00FE17CC">
      <w:pPr>
        <w:pStyle w:val="af"/>
        <w:tabs>
          <w:tab w:val="left" w:pos="1076"/>
        </w:tabs>
        <w:spacing w:line="360" w:lineRule="auto"/>
        <w:ind w:left="651"/>
        <w:jc w:val="both"/>
        <w:rPr>
          <w:rtl/>
        </w:rPr>
      </w:pPr>
    </w:p>
    <w:p w:rsidR="00FE17CC" w:rsidRPr="0099157E" w:rsidRDefault="00FE17CC" w:rsidP="00FE17CC">
      <w:pPr>
        <w:pStyle w:val="af"/>
        <w:numPr>
          <w:ilvl w:val="0"/>
          <w:numId w:val="1"/>
        </w:numPr>
        <w:tabs>
          <w:tab w:val="left" w:pos="1076"/>
        </w:tabs>
        <w:spacing w:after="160" w:line="360" w:lineRule="auto"/>
        <w:jc w:val="both"/>
      </w:pPr>
      <w:r w:rsidRPr="0099157E">
        <w:rPr>
          <w:rFonts w:hint="cs"/>
          <w:rtl/>
        </w:rPr>
        <w:t>וכך קובע סעיף 15 לחוק בהקשרים שאליהם מפנה הנתבעת:</w:t>
      </w:r>
    </w:p>
    <w:p w:rsidR="00FE17CC" w:rsidRPr="0099157E" w:rsidRDefault="00FE17CC" w:rsidP="00FE17CC">
      <w:pPr>
        <w:pStyle w:val="af"/>
        <w:tabs>
          <w:tab w:val="left" w:pos="1076"/>
        </w:tabs>
        <w:spacing w:line="360" w:lineRule="auto"/>
        <w:ind w:left="651"/>
        <w:jc w:val="both"/>
      </w:pPr>
    </w:p>
    <w:p w:rsidR="00FE17CC" w:rsidRPr="0099157E" w:rsidRDefault="00FE17CC" w:rsidP="00FE17CC">
      <w:pPr>
        <w:pStyle w:val="af"/>
        <w:spacing w:line="360" w:lineRule="auto"/>
        <w:ind w:left="1360" w:right="900"/>
        <w:jc w:val="both"/>
        <w:rPr>
          <w:rtl/>
        </w:rPr>
      </w:pPr>
      <w:r w:rsidRPr="0099157E">
        <w:rPr>
          <w:rFonts w:hint="cs"/>
          <w:rtl/>
        </w:rPr>
        <w:t xml:space="preserve">"במשפט פלילי או אזרחי בשל לשון הרע תהא זאת הגנה טובה אם הנאשם או הנתבע עשה את הפרסום בתום לב באחת הנסיבות האלו: </w:t>
      </w:r>
    </w:p>
    <w:p w:rsidR="00FE17CC" w:rsidRPr="0099157E" w:rsidRDefault="00FE17CC" w:rsidP="00FE17CC">
      <w:pPr>
        <w:pStyle w:val="af"/>
        <w:spacing w:line="360" w:lineRule="auto"/>
        <w:ind w:left="1360" w:right="900"/>
        <w:jc w:val="both"/>
        <w:rPr>
          <w:rtl/>
        </w:rPr>
      </w:pPr>
    </w:p>
    <w:p w:rsidR="00FE17CC" w:rsidRPr="0099157E" w:rsidRDefault="00FE17CC" w:rsidP="00FE17CC">
      <w:pPr>
        <w:pStyle w:val="af"/>
        <w:numPr>
          <w:ilvl w:val="0"/>
          <w:numId w:val="2"/>
        </w:numPr>
        <w:spacing w:line="360" w:lineRule="auto"/>
        <w:ind w:right="900"/>
        <w:jc w:val="both"/>
        <w:rPr>
          <w:rtl/>
        </w:rPr>
      </w:pPr>
      <w:r w:rsidRPr="0099157E">
        <w:rPr>
          <w:rFonts w:hint="cs"/>
          <w:rtl/>
        </w:rPr>
        <w:t>הוא לא ידע, ולא היה חייב לדעת על קיום הנפגע או על הנסיבות שמהן משתמעת לשון הרע או התייחסותה לנפגע כאמור בסעיף.</w:t>
      </w:r>
    </w:p>
    <w:p w:rsidR="00FE17CC" w:rsidRPr="0099157E" w:rsidRDefault="00FE17CC" w:rsidP="00FE17CC">
      <w:pPr>
        <w:pStyle w:val="af"/>
        <w:spacing w:line="276" w:lineRule="auto"/>
        <w:ind w:left="1360" w:right="900"/>
        <w:jc w:val="both"/>
        <w:rPr>
          <w:rtl/>
        </w:rPr>
      </w:pPr>
      <w:r w:rsidRPr="0099157E">
        <w:rPr>
          <w:rFonts w:hint="cs"/>
          <w:rtl/>
        </w:rPr>
        <w:t>....</w:t>
      </w:r>
    </w:p>
    <w:p w:rsidR="00FE17CC" w:rsidRPr="0099157E" w:rsidRDefault="00FE17CC" w:rsidP="00FE17CC">
      <w:pPr>
        <w:pStyle w:val="af"/>
        <w:spacing w:line="276" w:lineRule="auto"/>
        <w:ind w:left="1360" w:right="900"/>
        <w:jc w:val="both"/>
        <w:rPr>
          <w:rtl/>
        </w:rPr>
      </w:pPr>
      <w:r w:rsidRPr="0099157E">
        <w:rPr>
          <w:rFonts w:hint="cs"/>
          <w:rtl/>
        </w:rPr>
        <w:t xml:space="preserve"> </w:t>
      </w:r>
    </w:p>
    <w:p w:rsidR="00FE17CC" w:rsidRPr="0099157E" w:rsidRDefault="00FE17CC" w:rsidP="00FE17CC">
      <w:pPr>
        <w:spacing w:line="276" w:lineRule="auto"/>
        <w:ind w:left="1360" w:right="900"/>
        <w:jc w:val="both"/>
        <w:rPr>
          <w:rtl/>
        </w:rPr>
      </w:pPr>
    </w:p>
    <w:p w:rsidR="00FE17CC" w:rsidRPr="0099157E" w:rsidRDefault="00FE17CC" w:rsidP="00FE17CC">
      <w:pPr>
        <w:pStyle w:val="af"/>
        <w:spacing w:line="276" w:lineRule="auto"/>
        <w:ind w:left="1360" w:right="900"/>
        <w:jc w:val="both"/>
        <w:rPr>
          <w:rtl/>
        </w:rPr>
      </w:pPr>
      <w:r w:rsidRPr="0099157E">
        <w:rPr>
          <w:rFonts w:hint="cs"/>
          <w:rtl/>
        </w:rPr>
        <w:t>(3)</w:t>
      </w:r>
      <w:r w:rsidRPr="0099157E">
        <w:rPr>
          <w:rFonts w:hint="cs"/>
          <w:rtl/>
        </w:rPr>
        <w:tab/>
        <w:t>הפרסום נעשה לשם הגנה על ענין אישי כשר של הנאשם או הנתבע, של האדם שאליו הופנה הפרסום או של מי שאותו אדם מעונין בו ענין אישי כשר"</w:t>
      </w:r>
    </w:p>
    <w:p w:rsidR="00FE17CC" w:rsidRPr="0099157E" w:rsidRDefault="00FE17CC" w:rsidP="00FE17CC">
      <w:pPr>
        <w:pStyle w:val="af"/>
        <w:spacing w:line="360" w:lineRule="auto"/>
        <w:ind w:left="651"/>
        <w:jc w:val="both"/>
        <w:rPr>
          <w:rtl/>
        </w:rPr>
      </w:pPr>
    </w:p>
    <w:p w:rsidR="00FE17CC" w:rsidRPr="0099157E" w:rsidRDefault="00DC0198" w:rsidP="00276764">
      <w:pPr>
        <w:pStyle w:val="af"/>
        <w:numPr>
          <w:ilvl w:val="0"/>
          <w:numId w:val="1"/>
        </w:numPr>
        <w:tabs>
          <w:tab w:val="left" w:pos="1076"/>
        </w:tabs>
        <w:spacing w:after="160" w:line="360" w:lineRule="auto"/>
        <w:jc w:val="both"/>
      </w:pPr>
      <w:r w:rsidRPr="0099157E">
        <w:rPr>
          <w:rFonts w:hint="cs"/>
          <w:rtl/>
        </w:rPr>
        <w:t xml:space="preserve">הטעם להגנות אלו (כמו גם </w:t>
      </w:r>
      <w:r w:rsidR="00FE17CC" w:rsidRPr="0099157E">
        <w:rPr>
          <w:rFonts w:hint="cs"/>
          <w:rtl/>
        </w:rPr>
        <w:t xml:space="preserve">ל-10 </w:t>
      </w:r>
      <w:proofErr w:type="spellStart"/>
      <w:r w:rsidR="00FE17CC" w:rsidRPr="0099157E">
        <w:rPr>
          <w:rFonts w:hint="cs"/>
          <w:rtl/>
        </w:rPr>
        <w:t>ההגנות</w:t>
      </w:r>
      <w:proofErr w:type="spellEnd"/>
      <w:r w:rsidR="00FE17CC" w:rsidRPr="0099157E">
        <w:rPr>
          <w:rFonts w:hint="cs"/>
          <w:rtl/>
        </w:rPr>
        <w:t xml:space="preserve"> הנוספות שכלולות בסעיף 15) נעוץ בתפיסה כי קיימים מצבים שבהם אינטרסים ציבוריים </w:t>
      </w:r>
      <w:r w:rsidR="00276764">
        <w:rPr>
          <w:rFonts w:hint="cs"/>
          <w:rtl/>
        </w:rPr>
        <w:t>בעלי משקל</w:t>
      </w:r>
      <w:r w:rsidR="00FE17CC" w:rsidRPr="0099157E">
        <w:rPr>
          <w:rFonts w:hint="cs"/>
          <w:rtl/>
        </w:rPr>
        <w:t xml:space="preserve"> עשויים להצדיק מתן הגנה למפרסם, אם יתקיים בפרסום מרכיב נוסף והוא שהפרסום נעשה בתום לב.</w:t>
      </w:r>
    </w:p>
    <w:p w:rsidR="00FE17CC" w:rsidRPr="0099157E" w:rsidRDefault="00FE17CC" w:rsidP="00FE17CC">
      <w:pPr>
        <w:pStyle w:val="af"/>
        <w:spacing w:line="360" w:lineRule="auto"/>
        <w:ind w:left="651"/>
        <w:jc w:val="both"/>
      </w:pPr>
    </w:p>
    <w:p w:rsidR="00FE17CC" w:rsidRPr="0099157E" w:rsidRDefault="00FE17CC" w:rsidP="00FE17CC">
      <w:pPr>
        <w:spacing w:line="360" w:lineRule="auto"/>
        <w:jc w:val="both"/>
        <w:rPr>
          <w:u w:val="single"/>
        </w:rPr>
      </w:pPr>
    </w:p>
    <w:p w:rsidR="00FE17CC" w:rsidRPr="0099157E" w:rsidRDefault="00FE17CC" w:rsidP="00FE17CC">
      <w:pPr>
        <w:pStyle w:val="af"/>
        <w:numPr>
          <w:ilvl w:val="0"/>
          <w:numId w:val="1"/>
        </w:numPr>
        <w:tabs>
          <w:tab w:val="left" w:pos="1076"/>
        </w:tabs>
        <w:spacing w:after="160" w:line="360" w:lineRule="auto"/>
        <w:jc w:val="both"/>
      </w:pPr>
      <w:r w:rsidRPr="0099157E">
        <w:rPr>
          <w:rFonts w:hint="cs"/>
          <w:rtl/>
        </w:rPr>
        <w:lastRenderedPageBreak/>
        <w:t>סעיף 16 לחוק, שכותרתו "נטל ההוכחה", קובע חזקות לקיומו של תום הלב (סעיף 16(א) לחוק) וכן חזקות להיעדרו של תום הלב (סעיף 16(ב) לחוק). חזקות אלו אינן חלוטות וניתן לסתור אותן. להלן נוסח הסעיף:</w:t>
      </w:r>
    </w:p>
    <w:p w:rsidR="00FE17CC" w:rsidRPr="0099157E" w:rsidRDefault="00FE17CC" w:rsidP="00FE17CC">
      <w:pPr>
        <w:pStyle w:val="af"/>
        <w:spacing w:line="360" w:lineRule="auto"/>
        <w:ind w:left="651"/>
        <w:jc w:val="both"/>
        <w:rPr>
          <w:rtl/>
        </w:rPr>
      </w:pPr>
    </w:p>
    <w:p w:rsidR="00FE17CC" w:rsidRPr="0099157E" w:rsidRDefault="00FE17CC" w:rsidP="00FE17CC">
      <w:pPr>
        <w:pStyle w:val="af"/>
        <w:spacing w:line="360" w:lineRule="auto"/>
        <w:ind w:left="1218" w:right="900"/>
        <w:jc w:val="both"/>
        <w:rPr>
          <w:rtl/>
        </w:rPr>
      </w:pPr>
      <w:r w:rsidRPr="0099157E">
        <w:rPr>
          <w:rFonts w:hint="cs"/>
          <w:rtl/>
        </w:rPr>
        <w:t xml:space="preserve"> (א) הוכיח הנאשם או הנתבע שעשה את הפרסום באחת הנסיבות האמורות בסעיף 15 ושהפרסום לא חרג מתחום הסביר באותן נסיבות, חזקה עליו שעשה את הפרסום בתום לב.</w:t>
      </w:r>
    </w:p>
    <w:p w:rsidR="00FE17CC" w:rsidRPr="0099157E" w:rsidRDefault="00FE17CC" w:rsidP="00FE17CC">
      <w:pPr>
        <w:pStyle w:val="af"/>
        <w:spacing w:line="360" w:lineRule="auto"/>
        <w:ind w:left="1218" w:right="900"/>
        <w:jc w:val="both"/>
        <w:rPr>
          <w:rtl/>
        </w:rPr>
      </w:pPr>
      <w:r w:rsidRPr="0099157E">
        <w:rPr>
          <w:rFonts w:hint="cs"/>
          <w:rtl/>
        </w:rPr>
        <w:t>(ב)חזקה על הנאשם או הנתבע שעשה את הפרסום שלא בתום לב אם נתקיים בפרסום אחת מאלה:</w:t>
      </w:r>
    </w:p>
    <w:p w:rsidR="00FE17CC" w:rsidRPr="0099157E" w:rsidRDefault="00FE17CC" w:rsidP="00FE17CC">
      <w:pPr>
        <w:pStyle w:val="af"/>
        <w:spacing w:line="360" w:lineRule="auto"/>
        <w:ind w:left="1218" w:right="900"/>
        <w:jc w:val="both"/>
        <w:rPr>
          <w:rtl/>
        </w:rPr>
      </w:pPr>
      <w:r w:rsidRPr="0099157E">
        <w:rPr>
          <w:rFonts w:hint="cs"/>
          <w:rtl/>
        </w:rPr>
        <w:t>(1)</w:t>
      </w:r>
      <w:r w:rsidRPr="0099157E">
        <w:rPr>
          <w:rFonts w:hint="cs"/>
          <w:rtl/>
        </w:rPr>
        <w:tab/>
        <w:t xml:space="preserve">הדבר שפורסם לא היה אמת והוא לא האמין </w:t>
      </w:r>
      <w:proofErr w:type="spellStart"/>
      <w:r w:rsidRPr="0099157E">
        <w:rPr>
          <w:rFonts w:hint="cs"/>
          <w:rtl/>
        </w:rPr>
        <w:t>באמיתותו</w:t>
      </w:r>
      <w:proofErr w:type="spellEnd"/>
      <w:r w:rsidRPr="0099157E">
        <w:rPr>
          <w:rFonts w:hint="cs"/>
          <w:rtl/>
        </w:rPr>
        <w:t>;</w:t>
      </w:r>
    </w:p>
    <w:p w:rsidR="00FE17CC" w:rsidRPr="0099157E" w:rsidRDefault="00FE17CC" w:rsidP="00FE17CC">
      <w:pPr>
        <w:pStyle w:val="af"/>
        <w:spacing w:line="360" w:lineRule="auto"/>
        <w:ind w:left="2160" w:right="900" w:hanging="942"/>
        <w:jc w:val="both"/>
        <w:rPr>
          <w:rtl/>
        </w:rPr>
      </w:pPr>
      <w:r w:rsidRPr="0099157E">
        <w:rPr>
          <w:rFonts w:hint="cs"/>
          <w:rtl/>
        </w:rPr>
        <w:t>(2)</w:t>
      </w:r>
      <w:r w:rsidRPr="0099157E">
        <w:rPr>
          <w:rFonts w:hint="cs"/>
          <w:rtl/>
        </w:rPr>
        <w:tab/>
        <w:t>הדבר שפורסם לא היה אמת והוא לא נקט לפני הפרסום אמצעים סבירים להיווכח אם אמת הוא אם לא;</w:t>
      </w:r>
    </w:p>
    <w:p w:rsidR="00FE17CC" w:rsidRPr="0099157E" w:rsidRDefault="00FE17CC" w:rsidP="00FE17CC">
      <w:pPr>
        <w:pStyle w:val="af"/>
        <w:spacing w:line="360" w:lineRule="auto"/>
        <w:ind w:left="2160" w:right="900" w:hanging="942"/>
        <w:jc w:val="both"/>
        <w:rPr>
          <w:rtl/>
        </w:rPr>
      </w:pPr>
      <w:r w:rsidRPr="0099157E">
        <w:rPr>
          <w:rFonts w:hint="cs"/>
          <w:rtl/>
        </w:rPr>
        <w:t>(3)</w:t>
      </w:r>
      <w:r w:rsidRPr="0099157E">
        <w:rPr>
          <w:rFonts w:hint="cs"/>
          <w:rtl/>
        </w:rPr>
        <w:tab/>
        <w:t xml:space="preserve">הוא נתכוון על ידי הפרסום לפגוע במידה גדולה </w:t>
      </w:r>
      <w:proofErr w:type="spellStart"/>
      <w:r w:rsidRPr="0099157E">
        <w:rPr>
          <w:rFonts w:hint="cs"/>
          <w:rtl/>
        </w:rPr>
        <w:t>משהיתה</w:t>
      </w:r>
      <w:proofErr w:type="spellEnd"/>
      <w:r w:rsidRPr="0099157E">
        <w:rPr>
          <w:rFonts w:hint="cs"/>
          <w:rtl/>
        </w:rPr>
        <w:t xml:space="preserve"> סבירה להגנת הערכים המוגנים על-ידי סעיף 15.</w:t>
      </w:r>
    </w:p>
    <w:p w:rsidR="00FE17CC" w:rsidRPr="0099157E" w:rsidRDefault="00FE17CC" w:rsidP="00FE17CC">
      <w:pPr>
        <w:pStyle w:val="af"/>
        <w:spacing w:line="276" w:lineRule="auto"/>
        <w:ind w:left="1218" w:right="900"/>
        <w:jc w:val="both"/>
        <w:rPr>
          <w:rtl/>
        </w:rPr>
      </w:pPr>
    </w:p>
    <w:p w:rsidR="00FE17CC" w:rsidRPr="0099157E" w:rsidRDefault="00FE17CC" w:rsidP="00FE17CC">
      <w:pPr>
        <w:pStyle w:val="af"/>
        <w:numPr>
          <w:ilvl w:val="0"/>
          <w:numId w:val="1"/>
        </w:numPr>
        <w:tabs>
          <w:tab w:val="left" w:pos="1076"/>
        </w:tabs>
        <w:spacing w:after="160" w:line="360" w:lineRule="auto"/>
        <w:jc w:val="both"/>
        <w:rPr>
          <w:b/>
          <w:bCs/>
          <w:u w:val="single"/>
          <w:rtl/>
        </w:rPr>
      </w:pPr>
      <w:r w:rsidRPr="0099157E">
        <w:rPr>
          <w:rFonts w:hint="cs"/>
          <w:rtl/>
        </w:rPr>
        <w:t>נטל הוכחת מרכיב תום הלב שבסעיף 15 מוטל על המפרסם. כמו-כן, נטל הוכחת הנסיבות המקימות את החזקה שבסעיף 16(א) מוטל על המפרסם. עם זאת, נטל הוכחת החזקה הקבועה בסעיף 16(ב) של היעדר תום לב מוטל על התובע (</w:t>
      </w:r>
      <w:r w:rsidRPr="0099157E">
        <w:rPr>
          <w:rFonts w:hint="cs"/>
          <w:b/>
          <w:bCs/>
          <w:rtl/>
        </w:rPr>
        <w:t>שנהר</w:t>
      </w:r>
      <w:r w:rsidRPr="0099157E">
        <w:rPr>
          <w:rFonts w:hint="cs"/>
          <w:rtl/>
        </w:rPr>
        <w:t>, בעמ'</w:t>
      </w:r>
      <w:r w:rsidRPr="0099157E">
        <w:rPr>
          <w:rFonts w:hint="cs"/>
          <w:rtl/>
        </w:rPr>
        <w:br/>
        <w:t xml:space="preserve"> 259- 258). החזקה של עשיית פרסום שלא בתום לב (סעיף 16(ב)) היא "חזקה-מבטלת-חזקה", כלומר, במקום שבו יצליח התובע לשכנע את בית המשפט באחת משלוש הנסיבות הקבועות בסעיף 16(ב), תתבטל חזקת תום הלב הקבועה בסעיף 16(א) לחוק ותקום חזקת חוסר תום הלב לחובתו של המפרסם (ע"א 5653/98 </w:t>
      </w:r>
      <w:r w:rsidRPr="0099157E">
        <w:rPr>
          <w:rFonts w:hint="cs"/>
          <w:b/>
          <w:bCs/>
          <w:rtl/>
        </w:rPr>
        <w:t>פלוס נ' חלוץ ורשת שוקן</w:t>
      </w:r>
      <w:r w:rsidRPr="0099157E">
        <w:rPr>
          <w:rFonts w:hint="cs"/>
          <w:rtl/>
        </w:rPr>
        <w:t xml:space="preserve">, פ"ד </w:t>
      </w:r>
      <w:proofErr w:type="spellStart"/>
      <w:r w:rsidRPr="0099157E">
        <w:rPr>
          <w:rFonts w:hint="cs"/>
          <w:rtl/>
        </w:rPr>
        <w:t>נה</w:t>
      </w:r>
      <w:proofErr w:type="spellEnd"/>
      <w:r w:rsidRPr="0099157E">
        <w:rPr>
          <w:rFonts w:hint="cs"/>
          <w:rtl/>
        </w:rPr>
        <w:t xml:space="preserve">(5) 865 (2001), פס' 42 לפסק הדין של השופט חשין). </w:t>
      </w:r>
    </w:p>
    <w:p w:rsidR="00FE17CC" w:rsidRPr="0099157E" w:rsidRDefault="00FE17CC" w:rsidP="00FE17CC">
      <w:pPr>
        <w:pStyle w:val="af"/>
        <w:spacing w:line="360" w:lineRule="auto"/>
        <w:ind w:left="651"/>
        <w:jc w:val="both"/>
      </w:pPr>
    </w:p>
    <w:p w:rsidR="00FE17CC" w:rsidRPr="0099157E" w:rsidRDefault="00FE17CC" w:rsidP="00FE17CC">
      <w:pPr>
        <w:pStyle w:val="af"/>
        <w:numPr>
          <w:ilvl w:val="0"/>
          <w:numId w:val="1"/>
        </w:numPr>
        <w:tabs>
          <w:tab w:val="left" w:pos="1076"/>
        </w:tabs>
        <w:spacing w:after="160" w:line="360" w:lineRule="auto"/>
        <w:jc w:val="both"/>
      </w:pPr>
      <w:r w:rsidRPr="0099157E">
        <w:rPr>
          <w:rFonts w:hint="cs"/>
          <w:rtl/>
        </w:rPr>
        <w:t xml:space="preserve">סעיף 16(א) לחוק קובע שני תנאים מצטברים להקמת החזקה של עשיית פרסום בתום לב: התנאי הראשון הוא שהמפרסם עשה את הפרסום באחת הנסיבות שבסעיף 15 והשני הוא שהפרסום לא חרג מתחום הסביר. תנאי זה נבדק בעיקר באמצעות לשון הפרסום. בנוסף, בית המשפט צריך לבדוק האם ניתן היה להשיג את מטרת הפרסום בדרך שתפגע פחות (ראו למשל: פרשת </w:t>
      </w:r>
      <w:r w:rsidRPr="0099157E">
        <w:rPr>
          <w:rFonts w:hint="cs"/>
          <w:b/>
          <w:bCs/>
          <w:rtl/>
        </w:rPr>
        <w:t>פלוס</w:t>
      </w:r>
      <w:r w:rsidRPr="0099157E">
        <w:rPr>
          <w:rFonts w:hint="cs"/>
          <w:rtl/>
        </w:rPr>
        <w:t xml:space="preserve">, בפס' 57 לפסק הדין של כב' השופט חשין). </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 xml:space="preserve">בענייננו, </w:t>
      </w:r>
      <w:proofErr w:type="spellStart"/>
      <w:r w:rsidRPr="0099157E">
        <w:rPr>
          <w:rFonts w:hint="cs"/>
          <w:rtl/>
        </w:rPr>
        <w:t>סבורתני</w:t>
      </w:r>
      <w:proofErr w:type="spellEnd"/>
      <w:r w:rsidRPr="0099157E">
        <w:rPr>
          <w:rFonts w:hint="cs"/>
          <w:rtl/>
        </w:rPr>
        <w:t xml:space="preserve"> כי בנסיבות המקרה, ובהינתן שהפרסום נכלל בכתב תביעה שהוגש במסגרת סכסוך גירושין לבית הדין הרבני, ניתן לומר כי הפרסום לא חרג מתחום הסביר, בהינתן שהנתבעת רצתה לקשור בין התכונות וההתנהגות השליליות שהיא מייחסת ל</w:t>
      </w:r>
      <w:r w:rsidR="00000099">
        <w:rPr>
          <w:rFonts w:hint="cs"/>
          <w:rtl/>
        </w:rPr>
        <w:t>גרוש</w:t>
      </w:r>
      <w:r w:rsidRPr="0099157E">
        <w:rPr>
          <w:rFonts w:hint="cs"/>
          <w:rtl/>
        </w:rPr>
        <w:t xml:space="preserve"> בתביעתה לבין תכונות והתנהגות התובע, בבחינת "התפוח לא נופל רחוק מהעץ", לפי גרסתה. </w:t>
      </w:r>
      <w:r w:rsidR="00DC0198" w:rsidRPr="0099157E">
        <w:rPr>
          <w:rFonts w:hint="cs"/>
          <w:rtl/>
        </w:rPr>
        <w:t>מדובר בפרקטיקה רווחת למדי בכתבי טענות בסכסוכים בין בני זוג.</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ואולם, לא מתקיימ</w:t>
      </w:r>
      <w:r w:rsidR="00DC0198" w:rsidRPr="0099157E">
        <w:rPr>
          <w:rFonts w:hint="cs"/>
          <w:rtl/>
        </w:rPr>
        <w:t>ו</w:t>
      </w:r>
      <w:r w:rsidRPr="0099157E">
        <w:rPr>
          <w:rFonts w:hint="cs"/>
          <w:rtl/>
        </w:rPr>
        <w:t xml:space="preserve">ת הנסיבות המתוארות </w:t>
      </w:r>
      <w:proofErr w:type="spellStart"/>
      <w:r w:rsidRPr="0099157E">
        <w:rPr>
          <w:rFonts w:hint="cs"/>
          <w:rtl/>
        </w:rPr>
        <w:t>בסע</w:t>
      </w:r>
      <w:proofErr w:type="spellEnd"/>
      <w:r w:rsidRPr="0099157E">
        <w:rPr>
          <w:rFonts w:hint="cs"/>
          <w:rtl/>
        </w:rPr>
        <w:t xml:space="preserve">' 15(1) לחוק ולפיהן, הנתבעת לא ידעה, ולא </w:t>
      </w:r>
      <w:proofErr w:type="spellStart"/>
      <w:r w:rsidRPr="0099157E">
        <w:rPr>
          <w:rFonts w:hint="cs"/>
          <w:rtl/>
        </w:rPr>
        <w:t>היתה</w:t>
      </w:r>
      <w:proofErr w:type="spellEnd"/>
      <w:r w:rsidRPr="0099157E">
        <w:rPr>
          <w:rFonts w:hint="cs"/>
          <w:rtl/>
        </w:rPr>
        <w:t xml:space="preserve"> חייבת לדעת על קיום הנפגע או על הנסיבות שמהן משתמעת לשון הרע או התייחסותה לנפגע כאמור בסעיף. הנתבעת הכירה היטב את התובע ויכולה וחייבת </w:t>
      </w:r>
      <w:proofErr w:type="spellStart"/>
      <w:r w:rsidRPr="0099157E">
        <w:rPr>
          <w:rFonts w:hint="cs"/>
          <w:rtl/>
        </w:rPr>
        <w:t>היתה</w:t>
      </w:r>
      <w:proofErr w:type="spellEnd"/>
      <w:r w:rsidRPr="0099157E">
        <w:rPr>
          <w:rFonts w:hint="cs"/>
          <w:rtl/>
        </w:rPr>
        <w:t xml:space="preserve"> לדעת כי הדברים בפרסום הם פוגעניים, ולכן ממילא משתמעת מהם לשון הרע ביחס לתובע, ככל ורעייתו </w:t>
      </w:r>
      <w:proofErr w:type="spellStart"/>
      <w:r w:rsidRPr="0099157E">
        <w:rPr>
          <w:rFonts w:hint="cs"/>
          <w:rtl/>
        </w:rPr>
        <w:t>תחשף</w:t>
      </w:r>
      <w:proofErr w:type="spellEnd"/>
      <w:r w:rsidRPr="0099157E">
        <w:rPr>
          <w:rFonts w:hint="cs"/>
          <w:rtl/>
        </w:rPr>
        <w:t xml:space="preserve"> לדברים.</w:t>
      </w:r>
    </w:p>
    <w:p w:rsidR="00FE17CC" w:rsidRPr="0099157E" w:rsidRDefault="00FE17CC" w:rsidP="00FE17CC">
      <w:pPr>
        <w:pStyle w:val="af"/>
        <w:jc w:val="both"/>
        <w:rPr>
          <w:rtl/>
        </w:rPr>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 xml:space="preserve">מנגד, אני סבורה שעומדת לנתבעת הגנת תום הלב מכוח סעיף 15(3) לחוק. </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 xml:space="preserve">ההגנה לפי סע' 15(3) שעניינה בפרסום להגנה על עניין אישי כשר, הרי שהגנה זו חלה על פרסום המגן על אינטרס אישי וכשר של המפרסם עצמו, של צד שלישי שאליו הופנה הפרסום או של צד שלישי שהאדם שאליו הופנה הפרסום מעוניין בו עניין אישי וכשר. </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 xml:space="preserve">דוגמאות בפסיקה למקרים שבהם נקבע כי יש עניין אישי וכשר הן: דיווח בעל חברת אוטובוסים אחת לבעל חברה שניה כי הוא חושד שנהג המועסק על ידי החברה השנייה חיבל באוטובוסים של החברה הראשונה (ע"א 184/89 </w:t>
      </w:r>
      <w:proofErr w:type="spellStart"/>
      <w:r w:rsidRPr="0099157E">
        <w:rPr>
          <w:rFonts w:hint="cs"/>
          <w:b/>
          <w:bCs/>
          <w:rtl/>
        </w:rPr>
        <w:t>טריגמן</w:t>
      </w:r>
      <w:proofErr w:type="spellEnd"/>
      <w:r w:rsidRPr="0099157E">
        <w:rPr>
          <w:rFonts w:hint="cs"/>
          <w:b/>
          <w:bCs/>
          <w:rtl/>
        </w:rPr>
        <w:t xml:space="preserve"> נ' טיולי הגליל (רכב) 1966 בע"מ ואח'</w:t>
      </w:r>
      <w:r w:rsidRPr="0099157E">
        <w:rPr>
          <w:rFonts w:hint="cs"/>
          <w:rtl/>
        </w:rPr>
        <w:t xml:space="preserve">, תק-על 92(2) 522 (1992); דיווח פנימי בבית חולים על תפקוד של מנהל מחלקה (ע"א 831/86 </w:t>
      </w:r>
      <w:r w:rsidRPr="0099157E">
        <w:rPr>
          <w:rFonts w:hint="cs"/>
          <w:b/>
          <w:bCs/>
          <w:rtl/>
        </w:rPr>
        <w:t>מאור נ' מיכאלי ואח'</w:t>
      </w:r>
      <w:r w:rsidRPr="0099157E">
        <w:rPr>
          <w:rFonts w:hint="cs"/>
          <w:rtl/>
        </w:rPr>
        <w:t>, פ"ד מד(1) 762 (1990).לגבי תוכן הפרסום, נקבע "מבחן הקשר ההגיוני", ולפיו ההגנה תחול רק אם לשון הרע שפורסמה היא רלוונטית להגנת העניין האישי הכשר (</w:t>
      </w:r>
      <w:r w:rsidRPr="0099157E">
        <w:rPr>
          <w:rFonts w:hint="cs"/>
          <w:b/>
          <w:bCs/>
          <w:rtl/>
        </w:rPr>
        <w:t>שנהר</w:t>
      </w:r>
      <w:r w:rsidRPr="0099157E">
        <w:rPr>
          <w:rFonts w:hint="cs"/>
          <w:rtl/>
        </w:rPr>
        <w:t>, בעמ' 296).</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תפוצת הפרסום בהגנה זו היא מוגבלת. כשהפרסום נעשה לצורך הגנה על עניין של אדם שאינו המפרסם, הפרסום יהיה מוגן רק אם יופנה אל אותו אדם שלהגנת האינטרס שלו נעשה הפרסום או לאדם המעוניין עניין אישי כשר במי שלהגנת האינטרסים שלו נעשה הפרסום. לדוגמא, דיווח להורה על כך שפלוני מספק סמים לילדו הקטין משרת את עניינו האישי של הקטין ולהורה יש עניין אישי כשר בילדו. לגבי פרסום שנועד להגן על עניינו של המפרסם עצמו, החוק לא קובע הגבלה לגבי תפוצת הפרסום, אך נראה שהפרסום חייב להיות מופנה רק לאנשים שהפניית הפרסום אליהם תשרת את עניינו של המפרסם. אם ההגנה על העניין האישי של המפרסם מחייבת תפוצה רחבה, פרסום כזה עשוי להיות מוגן (</w:t>
      </w:r>
      <w:r w:rsidRPr="0099157E">
        <w:rPr>
          <w:rFonts w:hint="cs"/>
          <w:b/>
          <w:bCs/>
          <w:rtl/>
        </w:rPr>
        <w:t>שנהר</w:t>
      </w:r>
      <w:r w:rsidRPr="0099157E">
        <w:rPr>
          <w:rFonts w:hint="cs"/>
          <w:rtl/>
        </w:rPr>
        <w:t>, בעמ' 297)</w:t>
      </w:r>
      <w:r w:rsidRPr="0099157E">
        <w:rPr>
          <w:rStyle w:val="af0"/>
          <w:rFonts w:hint="cs"/>
          <w:rtl/>
        </w:rPr>
        <w:t>.</w:t>
      </w:r>
      <w:r w:rsidRPr="0099157E">
        <w:rPr>
          <w:rFonts w:hint="cs"/>
          <w:rtl/>
        </w:rPr>
        <w:t xml:space="preserve"> </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proofErr w:type="spellStart"/>
      <w:r w:rsidRPr="0099157E">
        <w:rPr>
          <w:rFonts w:hint="cs"/>
          <w:rtl/>
        </w:rPr>
        <w:t>בתמ"ש</w:t>
      </w:r>
      <w:proofErr w:type="spellEnd"/>
      <w:r w:rsidRPr="0099157E">
        <w:rPr>
          <w:rFonts w:hint="cs"/>
          <w:rtl/>
        </w:rPr>
        <w:t xml:space="preserve"> (תל אביב-יפו) 32368-02-16 </w:t>
      </w:r>
      <w:r w:rsidRPr="0099157E">
        <w:rPr>
          <w:rFonts w:hint="cs"/>
          <w:b/>
          <w:bCs/>
          <w:rtl/>
        </w:rPr>
        <w:t xml:space="preserve">ל' ל' </w:t>
      </w:r>
      <w:r w:rsidRPr="0099157E">
        <w:rPr>
          <w:rFonts w:hint="cs"/>
          <w:rtl/>
        </w:rPr>
        <w:t>נ'</w:t>
      </w:r>
      <w:r w:rsidRPr="0099157E">
        <w:rPr>
          <w:rFonts w:hint="cs"/>
          <w:b/>
          <w:bCs/>
          <w:rtl/>
        </w:rPr>
        <w:t xml:space="preserve"> א' ק' צ'</w:t>
      </w:r>
      <w:r w:rsidRPr="0099157E">
        <w:rPr>
          <w:rFonts w:hint="cs"/>
          <w:rtl/>
        </w:rPr>
        <w:t xml:space="preserve"> עמ' 10 (4.12.18) [פורסם במאגרים המשפטיים] קבע בית המשפט כי שיתוף בני משפחה או חברים קרובים עשוי לזכות להגנת תום הלב, אך לא כך הדבר, שעה שהפרסום מופנה למעסיקו של התובע, או לאנשים אחרים במקום עבודתו. ובלשון בית המשפט:</w:t>
      </w:r>
    </w:p>
    <w:p w:rsidR="00FE17CC" w:rsidRPr="0099157E" w:rsidRDefault="00FE17CC" w:rsidP="00FE17CC">
      <w:pPr>
        <w:spacing w:line="360" w:lineRule="auto"/>
        <w:ind w:left="1076" w:right="709"/>
        <w:contextualSpacing/>
        <w:jc w:val="both"/>
      </w:pPr>
      <w:r w:rsidRPr="0099157E">
        <w:rPr>
          <w:rFonts w:hint="cs"/>
          <w:u w:val="single"/>
          <w:rtl/>
        </w:rPr>
        <w:t>"ושישית</w:t>
      </w:r>
      <w:r w:rsidRPr="0099157E">
        <w:rPr>
          <w:rFonts w:hint="cs"/>
          <w:rtl/>
        </w:rPr>
        <w:t xml:space="preserve">, לשיטתי במקרה דנן מן הראוי לבחון את תום הלב גם בהתייחס לנמען – מקום עבודתה של התובעת, כמו גם לאופן הפרסום באמצעות מכתב. בעמ"ש </w:t>
      </w:r>
      <w:r w:rsidRPr="0099157E">
        <w:rPr>
          <w:rFonts w:hint="cs"/>
          <w:rtl/>
        </w:rPr>
        <w:lastRenderedPageBreak/>
        <w:t>(ת"א) 47311-10-13</w:t>
      </w:r>
      <w:r w:rsidRPr="0099157E">
        <w:rPr>
          <w:rFonts w:hint="cs"/>
          <w:b/>
          <w:bCs/>
          <w:rtl/>
        </w:rPr>
        <w:t xml:space="preserve"> </w:t>
      </w:r>
      <w:r w:rsidRPr="0099157E">
        <w:rPr>
          <w:rFonts w:hint="cs"/>
          <w:b/>
          <w:bCs/>
          <w:u w:val="single"/>
          <w:rtl/>
        </w:rPr>
        <w:t>פלוני נ' פלמונית</w:t>
      </w:r>
      <w:r w:rsidRPr="0099157E">
        <w:rPr>
          <w:rFonts w:hint="cs"/>
          <w:b/>
          <w:bCs/>
          <w:rtl/>
        </w:rPr>
        <w:t xml:space="preserve"> </w:t>
      </w:r>
      <w:r w:rsidRPr="0099157E">
        <w:rPr>
          <w:rFonts w:hint="cs"/>
          <w:rtl/>
        </w:rPr>
        <w:t>(פורסם במאגרים, [פורסם בנבו], 19.5.14) צוין כי "כ</w:t>
      </w:r>
      <w:r w:rsidRPr="0099157E">
        <w:rPr>
          <w:rFonts w:hint="cs"/>
          <w:b/>
          <w:bCs/>
          <w:rtl/>
        </w:rPr>
        <w:t xml:space="preserve">אשר עסקינן בסכסוך משפחתי, שומה על בית המשפט לנקוט משנה זהירות בבואו לפסוק פיצויים בגין פרסום לשון הרע. סכסוכים מסוג כזה הם מטבע הדברים טעונים מאוד מבחינה רגשית, ועלולים לגרור ביטויים חריפים שנאמרים בסערת רגשות. גם כענין שבמדיניות, אין לעודד צדדים לסכסוך משפחתי להגיש תביעות לשון הרע בגין כל ביטוי פוגע שנאמר על ידי הצד שכנגד, שאם לא כן, בתי המשפט לעניני משפחה יוצפו בתביעות לשון הרע לרוב. יחד עם זאת, לכלל הזה ישנם יוצאים מהכלל, ודומה כי המקרה הנוכחי הינו דוגמא מובהקת ליוצא מן הכלל. אין המדובר בפרסום אקראי ובלתי מכוון של לשון הרע מתוך סערת רגשות, שראוי לנהוג בסלחנות ביחס אליו, אלא במסכת שיטתית, עקבית ומרושעת של פרסומים, שכל תכליתם היתה, כפי שציין בצדק בית המשפט קמא, לפגוע במשיבה ובשמה הטוב בקרב בני משפחתה, חבריה וכן מעבידה" </w:t>
      </w:r>
      <w:r w:rsidRPr="0099157E">
        <w:rPr>
          <w:rFonts w:hint="cs"/>
          <w:rtl/>
        </w:rPr>
        <w:t>(בפס' 64). אומנם, המעשים אשר נידונו בפסק דין זה חמורים משמעותית לעומת משלוח המכתב דנן (ויוער כי הפיצויים אשר נפסקו שם עומדים על סך כולל של 400,000 ₪), אך באופן דומה אני סבורה כי עירוב מקום עבודתו של אחד מבני הזוג בסכסוך הזוגי מצריך נקיטת משנה זהירות כפולה ומכופלת, תוך בחינת תום הלב של הנתבע בשים לב לכך. לעמדתי, מקום עבודתו של אדם אינו זירה "טבעית" לסכסוך הזוגי, דוגמת בני משפחה או חברים קרובים עימם נוהגים בני זוג לשתף את המתרחש בחייהם. בשונה מכך, במקום העבודה בוחר כל אדם עד כמה ואת מי לשתף בחייו האישיים, ועצם משלוח המכתב הצריך מתן הסברים מצד התובעת ופגע בחירותה לבחור שלא לערב את מקום עבודתה בסכסוך הזוגי המתרחש בחייה. לא זו אף זו, פעמים רבות עבודתו של אדם המצוי בעיצומו של סכסוך זוגי מהווה עבורו מקום ניטראלי בו הוא אינו נדרש להתעמת עם הקשיים הרבים הפוקדים את חייו בתקופה זו, ועירוב המעסיק בסכסוך הזוגי פוגע גם בכך. יתרה מכך, לעירוב מקום העבודה בסכסוך הזוגי עשויות להיות השלכות נוספות, כגון סברה כי בשל המתרחש בחייו האישיים של העובד תפקודו במקום העבודה יפגע וכיו"ב. ולבסוף, יודגש, כי משלוח מכתב למעסיק אינו שקול לאמירות בלהט הרגע או בעידנא דריתחא, שכן מטבע הדברים הייתה לנתבע שהות מספקת לשקול זאת, והוא בחר לשלוח את המכתב."  (פסקה 31; ההדגשות במקור).</w:t>
      </w:r>
    </w:p>
    <w:p w:rsidR="00FE17CC" w:rsidRPr="0099157E" w:rsidRDefault="00FE17CC" w:rsidP="00FE17CC">
      <w:pPr>
        <w:pStyle w:val="af"/>
        <w:spacing w:after="160" w:line="360" w:lineRule="auto"/>
        <w:ind w:left="651"/>
        <w:jc w:val="both"/>
      </w:pPr>
    </w:p>
    <w:p w:rsidR="00FE17CC" w:rsidRPr="0099157E" w:rsidRDefault="00FE17CC" w:rsidP="00FE17CC">
      <w:pPr>
        <w:pStyle w:val="af"/>
        <w:numPr>
          <w:ilvl w:val="0"/>
          <w:numId w:val="1"/>
        </w:numPr>
        <w:tabs>
          <w:tab w:val="left" w:pos="1076"/>
        </w:tabs>
        <w:spacing w:after="160" w:line="360" w:lineRule="auto"/>
        <w:jc w:val="both"/>
      </w:pPr>
      <w:r w:rsidRPr="0099157E">
        <w:rPr>
          <w:rFonts w:hint="cs"/>
          <w:rtl/>
        </w:rPr>
        <w:t xml:space="preserve">במקרה דנן, הפרסום נכלל בכתב תביעה שהגישה הנתבעת לבית הדין הרבני לצורך הגנה על עניין אישי כשר שלה – טענותיה כלפי </w:t>
      </w:r>
      <w:r w:rsidR="00000099">
        <w:rPr>
          <w:rFonts w:hint="cs"/>
          <w:rtl/>
        </w:rPr>
        <w:t>הגרוש</w:t>
      </w:r>
      <w:r w:rsidRPr="0099157E">
        <w:rPr>
          <w:rFonts w:hint="cs"/>
          <w:rtl/>
        </w:rPr>
        <w:t>. התביעה לא פורסמה ברשתות החברתיות חלילה או בתפוצה רחבה אחרת. היא גם לא נש</w:t>
      </w:r>
      <w:r w:rsidR="008559F4" w:rsidRPr="0099157E">
        <w:rPr>
          <w:rFonts w:hint="cs"/>
          <w:rtl/>
        </w:rPr>
        <w:t>לחה אל התובע ורעייתו כנמענים של כתב התביעה</w:t>
      </w:r>
      <w:r w:rsidRPr="0099157E">
        <w:rPr>
          <w:rFonts w:hint="cs"/>
          <w:rtl/>
        </w:rPr>
        <w:t>. התביעה נשלחה במעטפה סגורה שעליה רשום כי ה</w:t>
      </w:r>
      <w:r w:rsidR="008559F4" w:rsidRPr="0099157E">
        <w:rPr>
          <w:rFonts w:hint="cs"/>
          <w:rtl/>
        </w:rPr>
        <w:t>נ</w:t>
      </w:r>
      <w:r w:rsidRPr="0099157E">
        <w:rPr>
          <w:rFonts w:hint="cs"/>
          <w:rtl/>
        </w:rPr>
        <w:t xml:space="preserve">מען שלה הוא </w:t>
      </w:r>
      <w:r w:rsidR="00000099">
        <w:rPr>
          <w:rFonts w:hint="cs"/>
          <w:rtl/>
        </w:rPr>
        <w:t>הגרוש</w:t>
      </w:r>
      <w:r w:rsidRPr="0099157E">
        <w:rPr>
          <w:rFonts w:hint="cs"/>
          <w:rtl/>
        </w:rPr>
        <w:t xml:space="preserve"> בדואר </w:t>
      </w:r>
      <w:r w:rsidRPr="0099157E">
        <w:rPr>
          <w:rFonts w:hint="cs"/>
          <w:rtl/>
        </w:rPr>
        <w:lastRenderedPageBreak/>
        <w:t xml:space="preserve">רשום. אמנם, דבר הדואר נשלח לכתובת מגורי התובע ורעייתו, אך כפי שכבר פורט בהרחבה, הדבר נעשה על הנחה סבירה כי תהיה זו דרך אפקטיבית להבטחת המסירה ולמצער כתולדה מטעות סבירה וכנה אודות הכתובת של </w:t>
      </w:r>
      <w:r w:rsidR="00000099">
        <w:rPr>
          <w:rFonts w:hint="cs"/>
          <w:rtl/>
        </w:rPr>
        <w:t>הגרוש</w:t>
      </w:r>
      <w:r w:rsidRPr="0099157E">
        <w:rPr>
          <w:rFonts w:hint="cs"/>
          <w:rtl/>
        </w:rPr>
        <w:t xml:space="preserve"> שאליה יש להמציא כתבי בי-דין. מי שגרם לחשיפת התובע ורעייתו לפרסום הוא </w:t>
      </w:r>
      <w:r w:rsidR="00000099">
        <w:rPr>
          <w:rFonts w:hint="cs"/>
          <w:rtl/>
        </w:rPr>
        <w:t>הגרוש</w:t>
      </w:r>
      <w:r w:rsidRPr="0099157E">
        <w:rPr>
          <w:rFonts w:hint="cs"/>
          <w:rtl/>
        </w:rPr>
        <w:t xml:space="preserve"> שביקש מהתובע לא רק לקבל עבורו את המעטפה מהדואר אלא גם לפתוח אותה, או התובע, עת החליט להניח את המעטפה בפינת האוכל בביתו באופן נגיש ומזמין לרעייתו, וזאת בהניחו מראש כי מדובר במסמך משפטי שהגיע ל</w:t>
      </w:r>
      <w:r w:rsidR="00000099">
        <w:rPr>
          <w:rFonts w:hint="cs"/>
          <w:rtl/>
        </w:rPr>
        <w:t>גרוש</w:t>
      </w:r>
      <w:r w:rsidRPr="0099157E">
        <w:rPr>
          <w:rFonts w:hint="cs"/>
          <w:rtl/>
        </w:rPr>
        <w:t xml:space="preserve"> בנסיבות שבהן הוא מצוי בסכסוך גירושין עם הנתבעת.</w:t>
      </w:r>
    </w:p>
    <w:p w:rsidR="00FE17CC" w:rsidRPr="000320EA" w:rsidRDefault="00FE17CC" w:rsidP="00FE17CC">
      <w:pPr>
        <w:pStyle w:val="af"/>
        <w:tabs>
          <w:tab w:val="left" w:pos="1076"/>
        </w:tabs>
        <w:spacing w:after="160" w:line="360" w:lineRule="auto"/>
        <w:jc w:val="both"/>
        <w:rPr>
          <w:b/>
          <w:bCs/>
          <w:u w:val="single"/>
        </w:rPr>
      </w:pPr>
    </w:p>
    <w:p w:rsidR="00FE17CC" w:rsidRPr="0099157E" w:rsidRDefault="00FE17CC" w:rsidP="00FE17CC">
      <w:pPr>
        <w:pStyle w:val="af"/>
        <w:tabs>
          <w:tab w:val="left" w:pos="1076"/>
        </w:tabs>
        <w:spacing w:after="160" w:line="360" w:lineRule="auto"/>
        <w:jc w:val="both"/>
        <w:rPr>
          <w:b/>
          <w:bCs/>
          <w:u w:val="single"/>
          <w:rtl/>
        </w:rPr>
      </w:pPr>
      <w:r w:rsidRPr="0099157E">
        <w:rPr>
          <w:rFonts w:hint="cs"/>
          <w:b/>
          <w:bCs/>
          <w:u w:val="single"/>
          <w:rtl/>
        </w:rPr>
        <w:t>סיכום שאלת האחריות</w:t>
      </w:r>
    </w:p>
    <w:p w:rsidR="008559F4" w:rsidRPr="0099157E" w:rsidRDefault="008559F4" w:rsidP="00FE17CC">
      <w:pPr>
        <w:pStyle w:val="af"/>
        <w:tabs>
          <w:tab w:val="left" w:pos="1076"/>
        </w:tabs>
        <w:spacing w:after="160" w:line="360" w:lineRule="auto"/>
        <w:jc w:val="both"/>
        <w:rPr>
          <w:b/>
          <w:bCs/>
          <w:u w:val="single"/>
          <w:rtl/>
        </w:rPr>
      </w:pPr>
    </w:p>
    <w:p w:rsidR="00FE17CC" w:rsidRPr="0099157E" w:rsidRDefault="00FE17CC" w:rsidP="00FE17CC">
      <w:pPr>
        <w:pStyle w:val="af"/>
        <w:numPr>
          <w:ilvl w:val="0"/>
          <w:numId w:val="1"/>
        </w:numPr>
        <w:tabs>
          <w:tab w:val="left" w:pos="1076"/>
        </w:tabs>
        <w:spacing w:after="160" w:line="360" w:lineRule="auto"/>
        <w:jc w:val="both"/>
      </w:pPr>
      <w:r w:rsidRPr="0099157E">
        <w:rPr>
          <w:rFonts w:hint="cs"/>
          <w:rtl/>
        </w:rPr>
        <w:t xml:space="preserve">מצאתי אפוא כי דין התביעה </w:t>
      </w:r>
      <w:proofErr w:type="spellStart"/>
      <w:r w:rsidRPr="0099157E">
        <w:rPr>
          <w:rFonts w:hint="cs"/>
          <w:rtl/>
        </w:rPr>
        <w:t>להדחות</w:t>
      </w:r>
      <w:proofErr w:type="spellEnd"/>
      <w:r w:rsidRPr="0099157E">
        <w:rPr>
          <w:rFonts w:hint="cs"/>
          <w:rtl/>
        </w:rPr>
        <w:t xml:space="preserve"> בהיות הפרסום חוסה תחת הסייג לאחריות הקבוע </w:t>
      </w:r>
      <w:proofErr w:type="spellStart"/>
      <w:r w:rsidRPr="0099157E">
        <w:rPr>
          <w:rFonts w:hint="cs"/>
          <w:rtl/>
        </w:rPr>
        <w:t>בסע</w:t>
      </w:r>
      <w:proofErr w:type="spellEnd"/>
      <w:r w:rsidRPr="0099157E">
        <w:rPr>
          <w:rFonts w:hint="cs"/>
          <w:rtl/>
        </w:rPr>
        <w:t>' 13(5) לחוק איסור לשון הרע. החריג לחסינות זו שנקבע בפסיקה לעניין פרסום לזרים להליך לא חל בענייננו, משעה שהפרסום לא יועד לאדם אחר פרט ל</w:t>
      </w:r>
      <w:r w:rsidR="00000099">
        <w:rPr>
          <w:rFonts w:hint="cs"/>
          <w:rtl/>
        </w:rPr>
        <w:t>גרוש</w:t>
      </w:r>
      <w:r w:rsidRPr="0099157E">
        <w:rPr>
          <w:rFonts w:hint="cs"/>
          <w:rtl/>
        </w:rPr>
        <w:t>.</w:t>
      </w:r>
    </w:p>
    <w:p w:rsidR="00FE17CC" w:rsidRPr="000320EA" w:rsidRDefault="00FE17CC" w:rsidP="00FE17CC">
      <w:pPr>
        <w:pStyle w:val="af"/>
        <w:tabs>
          <w:tab w:val="left" w:pos="1076"/>
        </w:tabs>
        <w:spacing w:after="160" w:line="360" w:lineRule="auto"/>
        <w:jc w:val="both"/>
      </w:pPr>
    </w:p>
    <w:p w:rsidR="00FE17CC" w:rsidRPr="0099157E" w:rsidRDefault="00FE17CC" w:rsidP="00FE17CC">
      <w:pPr>
        <w:pStyle w:val="af"/>
        <w:numPr>
          <w:ilvl w:val="0"/>
          <w:numId w:val="1"/>
        </w:numPr>
        <w:tabs>
          <w:tab w:val="left" w:pos="1076"/>
        </w:tabs>
        <w:spacing w:after="160" w:line="360" w:lineRule="auto"/>
        <w:jc w:val="both"/>
      </w:pPr>
      <w:r w:rsidRPr="0099157E">
        <w:rPr>
          <w:rFonts w:hint="cs"/>
          <w:rtl/>
        </w:rPr>
        <w:t xml:space="preserve">אפילו טעיתי, והחסינות לא חלה, בשל התקיימות החריג של פרסום לזרים, הרי שדין התביעה </w:t>
      </w:r>
      <w:proofErr w:type="spellStart"/>
      <w:r w:rsidRPr="0099157E">
        <w:rPr>
          <w:rFonts w:hint="cs"/>
          <w:rtl/>
        </w:rPr>
        <w:t>להדחות</w:t>
      </w:r>
      <w:proofErr w:type="spellEnd"/>
      <w:r w:rsidRPr="0099157E">
        <w:rPr>
          <w:rFonts w:hint="cs"/>
          <w:rtl/>
        </w:rPr>
        <w:t xml:space="preserve"> בשל תחולת הגנת תום הלב לפי סעיף 15(3) לחוק.</w:t>
      </w:r>
    </w:p>
    <w:p w:rsidR="00FE17CC" w:rsidRPr="0099157E" w:rsidRDefault="00FE17CC" w:rsidP="00FE17CC">
      <w:pPr>
        <w:pStyle w:val="af"/>
        <w:jc w:val="both"/>
      </w:pPr>
    </w:p>
    <w:p w:rsidR="00FE17CC" w:rsidRPr="0099157E" w:rsidRDefault="00FE17CC" w:rsidP="00986C12">
      <w:pPr>
        <w:pStyle w:val="af"/>
        <w:jc w:val="both"/>
        <w:rPr>
          <w:b/>
          <w:bCs/>
          <w:u w:val="single"/>
          <w:rtl/>
        </w:rPr>
      </w:pPr>
      <w:r w:rsidRPr="0099157E">
        <w:rPr>
          <w:rFonts w:hint="cs"/>
          <w:b/>
          <w:bCs/>
          <w:u w:val="single"/>
          <w:rtl/>
        </w:rPr>
        <w:t xml:space="preserve">הערות לגבי גובה הפיצוי, לו </w:t>
      </w:r>
      <w:proofErr w:type="spellStart"/>
      <w:r w:rsidRPr="0099157E">
        <w:rPr>
          <w:rFonts w:hint="cs"/>
          <w:b/>
          <w:bCs/>
          <w:u w:val="single"/>
          <w:rtl/>
        </w:rPr>
        <w:t>היתה</w:t>
      </w:r>
      <w:proofErr w:type="spellEnd"/>
      <w:r w:rsidRPr="0099157E">
        <w:rPr>
          <w:rFonts w:hint="cs"/>
          <w:b/>
          <w:bCs/>
          <w:u w:val="single"/>
          <w:rtl/>
        </w:rPr>
        <w:t xml:space="preserve"> נקבעת אחריות ה</w:t>
      </w:r>
      <w:r w:rsidR="00986C12">
        <w:rPr>
          <w:rFonts w:hint="cs"/>
          <w:b/>
          <w:bCs/>
          <w:u w:val="single"/>
          <w:rtl/>
        </w:rPr>
        <w:t>נתבעת</w:t>
      </w:r>
    </w:p>
    <w:p w:rsidR="00FE17CC" w:rsidRPr="0099157E" w:rsidRDefault="00FE17CC" w:rsidP="00FE17CC">
      <w:pPr>
        <w:pStyle w:val="1"/>
        <w:ind w:left="651"/>
        <w:jc w:val="both"/>
        <w:rPr>
          <w:rFonts w:ascii="David" w:hAnsi="David" w:cs="David"/>
          <w:sz w:val="24"/>
          <w:szCs w:val="24"/>
          <w:rtl/>
        </w:rPr>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 xml:space="preserve">מאחר והתוצאה היא שיש לדחות את התביעה, בהעדר אחריות, הרי שהתייתר הצורך לעבור לשלב של בחינת הסעד. </w:t>
      </w:r>
    </w:p>
    <w:p w:rsidR="00FE17CC" w:rsidRPr="0099157E" w:rsidRDefault="00FE17CC" w:rsidP="00FE17CC">
      <w:pPr>
        <w:pStyle w:val="af"/>
        <w:tabs>
          <w:tab w:val="left" w:pos="1076"/>
        </w:tabs>
        <w:spacing w:after="160" w:line="360" w:lineRule="auto"/>
        <w:jc w:val="both"/>
      </w:pPr>
    </w:p>
    <w:p w:rsidR="00FE17CC" w:rsidRPr="0099157E" w:rsidRDefault="00FE17CC" w:rsidP="00FE17CC">
      <w:pPr>
        <w:pStyle w:val="af"/>
        <w:numPr>
          <w:ilvl w:val="0"/>
          <w:numId w:val="1"/>
        </w:numPr>
        <w:tabs>
          <w:tab w:val="left" w:pos="1076"/>
        </w:tabs>
        <w:spacing w:after="160" w:line="360" w:lineRule="auto"/>
        <w:jc w:val="both"/>
      </w:pPr>
      <w:r w:rsidRPr="0099157E">
        <w:rPr>
          <w:rFonts w:hint="cs"/>
          <w:rtl/>
        </w:rPr>
        <w:t>עם זאת, ולמקרה שיוגש ערעור וימצא כי שגיתי במסקנתי כי דין התביעה לה</w:t>
      </w:r>
      <w:r w:rsidR="00276764">
        <w:rPr>
          <w:rFonts w:hint="cs"/>
          <w:rtl/>
        </w:rPr>
        <w:t>י</w:t>
      </w:r>
      <w:r w:rsidRPr="0099157E">
        <w:rPr>
          <w:rFonts w:hint="cs"/>
          <w:rtl/>
        </w:rPr>
        <w:t xml:space="preserve">דחות, אדון בגובה הפיצוי שראוי היה לפסוק, לו </w:t>
      </w:r>
      <w:proofErr w:type="spellStart"/>
      <w:r w:rsidRPr="0099157E">
        <w:rPr>
          <w:rFonts w:hint="cs"/>
          <w:rtl/>
        </w:rPr>
        <w:t>היתה</w:t>
      </w:r>
      <w:proofErr w:type="spellEnd"/>
      <w:r w:rsidRPr="0099157E">
        <w:rPr>
          <w:rFonts w:hint="cs"/>
          <w:rtl/>
        </w:rPr>
        <w:t xml:space="preserve"> נקבעת אחריות. אקדים ואציין כי לטעמי, הפיצוי במקרה דנן היה צריך לעמוד על הצד הנמוך מאוד, שאינו חורג בנסיבות המקרה מאלפי שקלים בודדים. </w:t>
      </w:r>
    </w:p>
    <w:p w:rsidR="00FE17CC" w:rsidRPr="0099157E" w:rsidRDefault="00FE17CC" w:rsidP="00FE17CC">
      <w:pPr>
        <w:pStyle w:val="af"/>
        <w:jc w:val="both"/>
      </w:pPr>
    </w:p>
    <w:p w:rsidR="00FE17CC" w:rsidRPr="0099157E" w:rsidRDefault="00896A62" w:rsidP="00FE17CC">
      <w:pPr>
        <w:pStyle w:val="1"/>
        <w:numPr>
          <w:ilvl w:val="0"/>
          <w:numId w:val="1"/>
        </w:numPr>
        <w:spacing w:after="0" w:line="360" w:lineRule="auto"/>
        <w:jc w:val="both"/>
        <w:rPr>
          <w:rFonts w:ascii="David" w:hAnsi="David" w:cs="David"/>
          <w:sz w:val="24"/>
          <w:szCs w:val="24"/>
          <w:rtl/>
        </w:rPr>
      </w:pPr>
      <w:hyperlink r:id="rId29" w:history="1">
        <w:r w:rsidR="00FE17CC" w:rsidRPr="0099157E">
          <w:rPr>
            <w:rStyle w:val="Hyperlink"/>
            <w:rFonts w:ascii="David" w:hAnsi="David" w:cs="David"/>
            <w:color w:val="auto"/>
            <w:sz w:val="24"/>
            <w:szCs w:val="24"/>
            <w:u w:val="none"/>
            <w:rtl/>
          </w:rPr>
          <w:t>סעיף 7א</w:t>
        </w:r>
      </w:hyperlink>
      <w:r w:rsidR="00FE17CC" w:rsidRPr="0099157E">
        <w:rPr>
          <w:rFonts w:ascii="David" w:hAnsi="David" w:cs="David"/>
          <w:sz w:val="24"/>
          <w:szCs w:val="24"/>
          <w:rtl/>
        </w:rPr>
        <w:t xml:space="preserve"> לחוק, שכותרתו "פיצוי ללא הוכחת נזק", קובע כי:</w:t>
      </w:r>
    </w:p>
    <w:p w:rsidR="00FE17CC" w:rsidRPr="0099157E" w:rsidRDefault="00FE17CC" w:rsidP="00FE17CC">
      <w:pPr>
        <w:pStyle w:val="1"/>
        <w:spacing w:before="100" w:beforeAutospacing="1" w:after="100" w:afterAutospacing="1" w:line="360" w:lineRule="auto"/>
        <w:ind w:left="1080" w:right="709"/>
        <w:jc w:val="both"/>
        <w:rPr>
          <w:rFonts w:ascii="David" w:hAnsi="David" w:cs="David"/>
          <w:sz w:val="24"/>
          <w:szCs w:val="24"/>
        </w:rPr>
      </w:pPr>
      <w:r w:rsidRPr="0099157E">
        <w:rPr>
          <w:rFonts w:ascii="David" w:hAnsi="David" w:cs="David"/>
          <w:sz w:val="24"/>
          <w:szCs w:val="24"/>
          <w:rtl/>
        </w:rPr>
        <w:t>"(א)...</w:t>
      </w:r>
    </w:p>
    <w:p w:rsidR="00FE17CC" w:rsidRPr="0099157E" w:rsidRDefault="00FE17CC" w:rsidP="00FE17CC">
      <w:pPr>
        <w:pStyle w:val="1"/>
        <w:spacing w:before="100" w:beforeAutospacing="1" w:after="100" w:afterAutospacing="1" w:line="360" w:lineRule="auto"/>
        <w:ind w:left="1080" w:right="709"/>
        <w:jc w:val="both"/>
        <w:rPr>
          <w:rFonts w:ascii="David" w:hAnsi="David" w:cs="David"/>
          <w:sz w:val="24"/>
          <w:szCs w:val="24"/>
        </w:rPr>
      </w:pPr>
      <w:r w:rsidRPr="0099157E">
        <w:rPr>
          <w:rFonts w:ascii="David" w:hAnsi="David" w:cs="David"/>
          <w:sz w:val="24"/>
          <w:szCs w:val="24"/>
          <w:rtl/>
        </w:rPr>
        <w:t xml:space="preserve"> (ב) במשפט בשל עוולה אזרחית לפי חוק זה רשאי בית המשפט לחייב את הנתבע לשלם לנפגע פיצוי שלא יעלה על 50,000 שקלים חדשים, ללא הוכחת נזק.</w:t>
      </w:r>
    </w:p>
    <w:p w:rsidR="00FE17CC" w:rsidRPr="0099157E" w:rsidRDefault="00FE17CC" w:rsidP="00FE17CC">
      <w:pPr>
        <w:pStyle w:val="1"/>
        <w:spacing w:after="0" w:line="360" w:lineRule="auto"/>
        <w:ind w:left="1080" w:right="709"/>
        <w:jc w:val="both"/>
        <w:rPr>
          <w:rFonts w:ascii="David" w:hAnsi="David" w:cs="David"/>
          <w:sz w:val="24"/>
          <w:szCs w:val="24"/>
          <w:rtl/>
        </w:rPr>
      </w:pPr>
      <w:r w:rsidRPr="0099157E">
        <w:rPr>
          <w:rFonts w:ascii="David" w:hAnsi="David" w:cs="David"/>
          <w:sz w:val="24"/>
          <w:szCs w:val="24"/>
          <w:rtl/>
        </w:rPr>
        <w:t>(ג) במשפט בשל עוולה אזרחית לפי חוק זה, שבו הוכח כי לשון הרע פורסמה בכוונה לפגוע, רשאי בית המשפט לחייב את הנתבע לשלם לנפגע, פיצוי שלא יעלה על כפל הסכום כאמור בסעיף קטן (ב), ללא הוכחת נזק..."</w:t>
      </w:r>
    </w:p>
    <w:p w:rsidR="00FE17CC" w:rsidRPr="0099157E" w:rsidRDefault="00FE17CC" w:rsidP="00FE17CC">
      <w:pPr>
        <w:pStyle w:val="1"/>
        <w:spacing w:line="360" w:lineRule="auto"/>
        <w:ind w:left="651"/>
        <w:jc w:val="both"/>
        <w:rPr>
          <w:rFonts w:ascii="David" w:hAnsi="David" w:cs="David"/>
          <w:color w:val="000000"/>
          <w:rtl/>
        </w:rPr>
      </w:pPr>
    </w:p>
    <w:p w:rsidR="00FE17CC" w:rsidRPr="0099157E" w:rsidRDefault="00FE17CC" w:rsidP="00FE17CC">
      <w:pPr>
        <w:pStyle w:val="1"/>
        <w:spacing w:line="360" w:lineRule="auto"/>
        <w:ind w:left="651"/>
        <w:jc w:val="both"/>
        <w:rPr>
          <w:rFonts w:ascii="David" w:hAnsi="David" w:cs="David"/>
          <w:sz w:val="24"/>
          <w:szCs w:val="24"/>
          <w:rtl/>
        </w:rPr>
      </w:pPr>
      <w:r w:rsidRPr="0099157E">
        <w:rPr>
          <w:rFonts w:ascii="David" w:hAnsi="David" w:cs="David"/>
          <w:sz w:val="24"/>
          <w:szCs w:val="24"/>
          <w:rtl/>
        </w:rPr>
        <w:lastRenderedPageBreak/>
        <w:t xml:space="preserve">בהתאם </w:t>
      </w:r>
      <w:proofErr w:type="spellStart"/>
      <w:r w:rsidRPr="0099157E">
        <w:rPr>
          <w:rFonts w:ascii="David" w:hAnsi="David" w:cs="David"/>
          <w:sz w:val="24"/>
          <w:szCs w:val="24"/>
          <w:rtl/>
        </w:rPr>
        <w:t>לס"ק</w:t>
      </w:r>
      <w:proofErr w:type="spellEnd"/>
      <w:r w:rsidRPr="0099157E">
        <w:rPr>
          <w:rFonts w:ascii="David" w:hAnsi="David" w:cs="David"/>
          <w:sz w:val="24"/>
          <w:szCs w:val="24"/>
          <w:rtl/>
        </w:rPr>
        <w:t xml:space="preserve"> (ה) "הסכומים האמורים בסעיף זה יעודכנו ב-16 בכל חודש, בהתאם לשיעור עליית המדד החדש לעומת המדד הבסיסי...".</w:t>
      </w:r>
    </w:p>
    <w:p w:rsidR="00FE17CC" w:rsidRPr="0099157E" w:rsidRDefault="00FE17CC" w:rsidP="00FE17CC">
      <w:pPr>
        <w:pStyle w:val="1"/>
        <w:spacing w:line="360" w:lineRule="auto"/>
        <w:ind w:left="651"/>
        <w:jc w:val="both"/>
        <w:rPr>
          <w:rFonts w:ascii="David" w:hAnsi="David" w:cs="David"/>
          <w:sz w:val="24"/>
          <w:szCs w:val="24"/>
        </w:rPr>
      </w:pPr>
    </w:p>
    <w:p w:rsidR="00FE17CC" w:rsidRPr="0099157E" w:rsidRDefault="00FE17CC" w:rsidP="00FE17CC">
      <w:pPr>
        <w:pStyle w:val="1"/>
        <w:spacing w:line="360" w:lineRule="auto"/>
        <w:jc w:val="both"/>
        <w:rPr>
          <w:rFonts w:ascii="David" w:hAnsi="David" w:cs="David"/>
          <w:sz w:val="24"/>
          <w:szCs w:val="24"/>
        </w:rPr>
      </w:pPr>
    </w:p>
    <w:p w:rsidR="00FE17CC" w:rsidRPr="0099157E" w:rsidRDefault="00FE17CC" w:rsidP="00FE17CC">
      <w:pPr>
        <w:pStyle w:val="1"/>
        <w:numPr>
          <w:ilvl w:val="0"/>
          <w:numId w:val="1"/>
        </w:numPr>
        <w:spacing w:after="0" w:line="360" w:lineRule="auto"/>
        <w:jc w:val="both"/>
        <w:rPr>
          <w:rFonts w:ascii="David" w:hAnsi="David" w:cs="David"/>
          <w:sz w:val="24"/>
          <w:szCs w:val="24"/>
        </w:rPr>
      </w:pPr>
      <w:r w:rsidRPr="0099157E">
        <w:rPr>
          <w:rFonts w:ascii="David" w:hAnsi="David" w:cs="David"/>
          <w:sz w:val="24"/>
          <w:szCs w:val="24"/>
          <w:rtl/>
        </w:rPr>
        <w:t>החוק קבע "תקרה" מבחינת גובה הפיצוי הכספי בגין עוולה של לשון הרע, ללא הוכחת נזק, אך ברי כי המחוקק העניק לבית המשפט מרחב של שיקול דעת בבואו לקבוע גובה הפיצוי.</w:t>
      </w:r>
    </w:p>
    <w:p w:rsidR="00FE17CC" w:rsidRPr="0099157E" w:rsidRDefault="00FE17CC" w:rsidP="00FE17CC">
      <w:pPr>
        <w:pStyle w:val="1"/>
        <w:spacing w:line="360" w:lineRule="auto"/>
        <w:jc w:val="both"/>
        <w:rPr>
          <w:rFonts w:ascii="David" w:hAnsi="David" w:cs="David"/>
          <w:sz w:val="24"/>
          <w:szCs w:val="24"/>
        </w:rPr>
      </w:pPr>
    </w:p>
    <w:p w:rsidR="00FE17CC" w:rsidRPr="0099157E" w:rsidRDefault="00FE17CC" w:rsidP="00FE17CC">
      <w:pPr>
        <w:pStyle w:val="1"/>
        <w:numPr>
          <w:ilvl w:val="0"/>
          <w:numId w:val="1"/>
        </w:numPr>
        <w:spacing w:after="0" w:line="360" w:lineRule="auto"/>
        <w:jc w:val="both"/>
        <w:rPr>
          <w:rFonts w:ascii="David" w:hAnsi="David" w:cs="David"/>
          <w:sz w:val="24"/>
          <w:szCs w:val="24"/>
        </w:rPr>
      </w:pPr>
      <w:r w:rsidRPr="0099157E">
        <w:rPr>
          <w:rFonts w:ascii="David" w:hAnsi="David" w:cs="David"/>
          <w:sz w:val="24"/>
          <w:szCs w:val="24"/>
          <w:rtl/>
        </w:rPr>
        <w:t>בעת פסיקת פיצויים בגין לשון הרע, יתחשב בית המשפט במכלול הנסיבות ובין היתר בהיקף הפגיעה, במעמדו של הניזוק בקהילתו, בהשפלה שסבל, בכאב ובסבל שהיו מנת חלקו ובתוצאות הצפויות מכל אלה בעתיד (</w:t>
      </w:r>
      <w:hyperlink r:id="rId30" w:history="1">
        <w:r w:rsidRPr="0099157E">
          <w:rPr>
            <w:rStyle w:val="Hyperlink"/>
            <w:rFonts w:ascii="David" w:hAnsi="David" w:cs="David"/>
            <w:color w:val="auto"/>
            <w:sz w:val="24"/>
            <w:szCs w:val="24"/>
            <w:u w:val="none"/>
            <w:rtl/>
          </w:rPr>
          <w:t>ע"א 4740/00</w:t>
        </w:r>
      </w:hyperlink>
      <w:r w:rsidRPr="0099157E">
        <w:rPr>
          <w:rFonts w:ascii="David" w:hAnsi="David" w:cs="David"/>
          <w:b/>
          <w:bCs/>
          <w:sz w:val="24"/>
          <w:szCs w:val="24"/>
          <w:rtl/>
        </w:rPr>
        <w:t xml:space="preserve"> אמר נ' יוסף,</w:t>
      </w:r>
      <w:r w:rsidRPr="0099157E">
        <w:rPr>
          <w:rFonts w:ascii="David" w:hAnsi="David" w:cs="David"/>
          <w:sz w:val="24"/>
          <w:szCs w:val="24"/>
          <w:rtl/>
        </w:rPr>
        <w:t xml:space="preserve"> פ"ד </w:t>
      </w:r>
      <w:proofErr w:type="spellStart"/>
      <w:r w:rsidRPr="0099157E">
        <w:rPr>
          <w:rFonts w:ascii="David" w:hAnsi="David" w:cs="David"/>
          <w:sz w:val="24"/>
          <w:szCs w:val="24"/>
          <w:rtl/>
        </w:rPr>
        <w:t>נה</w:t>
      </w:r>
      <w:proofErr w:type="spellEnd"/>
      <w:r w:rsidRPr="0099157E">
        <w:rPr>
          <w:rFonts w:ascii="David" w:hAnsi="David" w:cs="David"/>
          <w:sz w:val="24"/>
          <w:szCs w:val="24"/>
          <w:rtl/>
        </w:rPr>
        <w:t xml:space="preserve">(5) 510). </w:t>
      </w:r>
    </w:p>
    <w:p w:rsidR="00FE17CC" w:rsidRPr="0099157E" w:rsidRDefault="00FE17CC" w:rsidP="00FE17CC">
      <w:pPr>
        <w:pStyle w:val="1"/>
        <w:spacing w:line="360" w:lineRule="auto"/>
        <w:jc w:val="both"/>
        <w:rPr>
          <w:rFonts w:ascii="David" w:hAnsi="David" w:cs="David"/>
          <w:sz w:val="24"/>
          <w:szCs w:val="24"/>
        </w:rPr>
      </w:pPr>
    </w:p>
    <w:p w:rsidR="00FE17CC" w:rsidRPr="0099157E" w:rsidRDefault="00FE17CC" w:rsidP="000320EA">
      <w:pPr>
        <w:pStyle w:val="af"/>
        <w:numPr>
          <w:ilvl w:val="0"/>
          <w:numId w:val="1"/>
        </w:numPr>
        <w:tabs>
          <w:tab w:val="left" w:pos="1076"/>
        </w:tabs>
        <w:spacing w:after="160" w:line="360" w:lineRule="auto"/>
        <w:jc w:val="both"/>
      </w:pPr>
      <w:r w:rsidRPr="0099157E">
        <w:rPr>
          <w:rFonts w:hint="cs"/>
          <w:rtl/>
        </w:rPr>
        <w:t xml:space="preserve">התובע העיד כי היחשפות רעייתו לפרסום גרמה לכך שהיא נפגעה והתפרצה עליו </w:t>
      </w:r>
      <w:proofErr w:type="spellStart"/>
      <w:r w:rsidRPr="0099157E">
        <w:rPr>
          <w:rFonts w:hint="cs"/>
          <w:rtl/>
        </w:rPr>
        <w:t>בסוברה</w:t>
      </w:r>
      <w:proofErr w:type="spellEnd"/>
      <w:r w:rsidRPr="0099157E">
        <w:rPr>
          <w:rFonts w:hint="cs"/>
          <w:rtl/>
        </w:rPr>
        <w:t xml:space="preserve"> כי "יש דברים בגו'" וכי הנתבעת יודעת דברים שהיא עצמה אינה יודעת. עקב כך, התערערו יחסיהם (עמ' 7). רעיית התובע אף היא מסרה עדות דומה. מעדותה עלה כי היא נשואה לתובע </w:t>
      </w:r>
      <w:r w:rsidR="000320EA">
        <w:rPr>
          <w:rFonts w:hint="cs"/>
          <w:rtl/>
        </w:rPr>
        <w:t>...</w:t>
      </w:r>
      <w:r w:rsidRPr="0099157E">
        <w:rPr>
          <w:rFonts w:hint="cs"/>
          <w:rtl/>
        </w:rPr>
        <w:t xml:space="preserve"> שנים וחיי הזוגיות שלהם היו טובים. היא מסרה כי היא נסערה מהפרסום. היא יצרה קשר עם בתה ב</w:t>
      </w:r>
      <w:r w:rsidR="000320EA">
        <w:rPr>
          <w:rFonts w:hint="cs"/>
          <w:rtl/>
        </w:rPr>
        <w:t>...</w:t>
      </w:r>
      <w:r w:rsidRPr="0099157E">
        <w:rPr>
          <w:rFonts w:hint="cs"/>
          <w:rtl/>
        </w:rPr>
        <w:t xml:space="preserve"> כדי לדעת האם ידוע לה דברים שלה עצמה אינם יודעים (עמ' 36). גם בתו של התובע, </w:t>
      </w:r>
      <w:r w:rsidR="000320EA">
        <w:rPr>
          <w:rFonts w:hint="cs"/>
          <w:rtl/>
        </w:rPr>
        <w:t>...</w:t>
      </w:r>
      <w:r w:rsidRPr="0099157E">
        <w:rPr>
          <w:rFonts w:hint="cs"/>
          <w:rtl/>
        </w:rPr>
        <w:t xml:space="preserve">, מסרה כי בשיחה </w:t>
      </w:r>
      <w:r w:rsidR="008559F4" w:rsidRPr="0099157E">
        <w:rPr>
          <w:rFonts w:hint="cs"/>
          <w:rtl/>
        </w:rPr>
        <w:t>שהתקיימה סמוך למועד החשיפה של אמה, רע</w:t>
      </w:r>
      <w:r w:rsidRPr="0099157E">
        <w:rPr>
          <w:rFonts w:hint="cs"/>
          <w:rtl/>
        </w:rPr>
        <w:t>יית התובע</w:t>
      </w:r>
      <w:r w:rsidR="008559F4" w:rsidRPr="0099157E">
        <w:rPr>
          <w:rFonts w:hint="cs"/>
          <w:rtl/>
        </w:rPr>
        <w:t>,</w:t>
      </w:r>
      <w:r w:rsidRPr="0099157E">
        <w:rPr>
          <w:rFonts w:hint="cs"/>
          <w:rtl/>
        </w:rPr>
        <w:t xml:space="preserve"> לפרסום, אמה נשמעה נסערת וביקשה לדעת האם הנתבעת יודעת דברים שהיא עצמה אינה יודעת, היות והיא העריכה את הנתבעת אדם אמין (עמ' 32 ועמ'  34, </w:t>
      </w:r>
      <w:proofErr w:type="spellStart"/>
      <w:r w:rsidRPr="0099157E">
        <w:rPr>
          <w:rFonts w:hint="cs"/>
          <w:rtl/>
        </w:rPr>
        <w:t>בש</w:t>
      </w:r>
      <w:proofErr w:type="spellEnd"/>
      <w:r w:rsidRPr="0099157E">
        <w:rPr>
          <w:rFonts w:hint="cs"/>
          <w:rtl/>
        </w:rPr>
        <w:t>' 10-9).</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שוכנעתי כי</w:t>
      </w:r>
      <w:r w:rsidR="008559F4" w:rsidRPr="0099157E">
        <w:rPr>
          <w:rFonts w:hint="cs"/>
          <w:rtl/>
        </w:rPr>
        <w:t xml:space="preserve"> האמור בפרסום אכן גרם עגמת נפש לתובע ולרעייתו ולסכסוך ביניהם.</w:t>
      </w:r>
    </w:p>
    <w:p w:rsidR="00FE17CC" w:rsidRPr="0099157E" w:rsidRDefault="00FE17CC" w:rsidP="00FE17CC">
      <w:pPr>
        <w:pStyle w:val="af"/>
        <w:jc w:val="both"/>
      </w:pPr>
    </w:p>
    <w:p w:rsidR="00FE17CC" w:rsidRPr="0099157E" w:rsidRDefault="00FE17CC" w:rsidP="000320EA">
      <w:pPr>
        <w:pStyle w:val="af"/>
        <w:numPr>
          <w:ilvl w:val="0"/>
          <w:numId w:val="1"/>
        </w:numPr>
        <w:tabs>
          <w:tab w:val="left" w:pos="1076"/>
        </w:tabs>
        <w:spacing w:after="160" w:line="360" w:lineRule="auto"/>
        <w:jc w:val="both"/>
        <w:rPr>
          <w:rtl/>
        </w:rPr>
      </w:pPr>
      <w:r w:rsidRPr="0099157E">
        <w:rPr>
          <w:rFonts w:hint="cs"/>
          <w:rtl/>
        </w:rPr>
        <w:t xml:space="preserve">לצד האמור, התברר כי היחסים בין הנתבעת לתובע לא היו טובים בתקופת החיים המשותפת, ותחילת המשבר </w:t>
      </w:r>
      <w:proofErr w:type="spellStart"/>
      <w:r w:rsidRPr="0099157E">
        <w:rPr>
          <w:rFonts w:hint="cs"/>
          <w:rtl/>
        </w:rPr>
        <w:t>היתה</w:t>
      </w:r>
      <w:proofErr w:type="spellEnd"/>
      <w:r w:rsidRPr="0099157E">
        <w:rPr>
          <w:rFonts w:hint="cs"/>
          <w:rtl/>
        </w:rPr>
        <w:t xml:space="preserve"> </w:t>
      </w:r>
      <w:r w:rsidR="008559F4" w:rsidRPr="0099157E">
        <w:rPr>
          <w:rFonts w:hint="cs"/>
          <w:rtl/>
        </w:rPr>
        <w:t>כנראה</w:t>
      </w:r>
      <w:r w:rsidRPr="0099157E">
        <w:rPr>
          <w:rFonts w:hint="cs"/>
          <w:rtl/>
        </w:rPr>
        <w:t xml:space="preserve"> </w:t>
      </w:r>
      <w:r w:rsidR="008559F4" w:rsidRPr="0099157E">
        <w:rPr>
          <w:rFonts w:hint="cs"/>
          <w:rtl/>
        </w:rPr>
        <w:t xml:space="preserve">עוד </w:t>
      </w:r>
      <w:r w:rsidRPr="0099157E">
        <w:rPr>
          <w:rFonts w:hint="cs"/>
          <w:rtl/>
        </w:rPr>
        <w:t>טרם מועד החתונה, בעקבות ויכוח אודות טיפים למלצרים. הנתבעת טענה עוד כי התובע ורעייתו התערבו בעניינים של הנתבעת ו</w:t>
      </w:r>
      <w:r w:rsidR="00000099">
        <w:rPr>
          <w:rFonts w:hint="cs"/>
          <w:rtl/>
        </w:rPr>
        <w:t>הגרוש</w:t>
      </w:r>
      <w:r w:rsidRPr="0099157E">
        <w:rPr>
          <w:rFonts w:hint="cs"/>
          <w:rtl/>
        </w:rPr>
        <w:t xml:space="preserve"> והדבר יצר מתח (ראו עדות הנתבעת בעמ' 48 מש' 29 ועמ' 49 עד ש' 4). </w:t>
      </w:r>
      <w:r w:rsidR="000320EA">
        <w:rPr>
          <w:rFonts w:hint="cs"/>
          <w:rtl/>
        </w:rPr>
        <w:t>...</w:t>
      </w:r>
      <w:r w:rsidRPr="0099157E">
        <w:rPr>
          <w:rFonts w:hint="cs"/>
          <w:rtl/>
        </w:rPr>
        <w:t xml:space="preserve">, </w:t>
      </w:r>
      <w:proofErr w:type="spellStart"/>
      <w:r w:rsidRPr="0099157E">
        <w:rPr>
          <w:rFonts w:hint="cs"/>
          <w:rtl/>
        </w:rPr>
        <w:t>שהיתה</w:t>
      </w:r>
      <w:proofErr w:type="spellEnd"/>
      <w:r w:rsidRPr="0099157E">
        <w:rPr>
          <w:rFonts w:hint="cs"/>
          <w:rtl/>
        </w:rPr>
        <w:t xml:space="preserve"> עדת תביעה, אף היא מסרה בעדותה כי היחסים בין הנתבעת להוריה לא היו מהמשופרים (עמ' 34). היו אמנם מפגשים משפחתיים אך הנתבעת </w:t>
      </w:r>
      <w:proofErr w:type="spellStart"/>
      <w:r w:rsidRPr="0099157E">
        <w:rPr>
          <w:rFonts w:hint="cs"/>
          <w:rtl/>
        </w:rPr>
        <w:t>היתה</w:t>
      </w:r>
      <w:proofErr w:type="spellEnd"/>
      <w:r w:rsidRPr="0099157E">
        <w:rPr>
          <w:rFonts w:hint="cs"/>
          <w:rtl/>
        </w:rPr>
        <w:t xml:space="preserve">, לדברי העדה, שקועה בענייניה (כמו בטלפון הנייד שלה) ולא התערתה </w:t>
      </w:r>
      <w:r w:rsidR="008559F4" w:rsidRPr="0099157E">
        <w:rPr>
          <w:rFonts w:hint="cs"/>
          <w:rtl/>
        </w:rPr>
        <w:t xml:space="preserve">בבילוי המשפחתי </w:t>
      </w:r>
      <w:r w:rsidRPr="0099157E">
        <w:rPr>
          <w:rFonts w:hint="cs"/>
          <w:rtl/>
        </w:rPr>
        <w:t xml:space="preserve">(ראו עדותה בעמ' 35). </w:t>
      </w:r>
      <w:r w:rsidR="00000099">
        <w:rPr>
          <w:rFonts w:hint="cs"/>
          <w:rtl/>
        </w:rPr>
        <w:t>הגרוש</w:t>
      </w:r>
      <w:r w:rsidRPr="0099157E">
        <w:rPr>
          <w:rFonts w:hint="cs"/>
          <w:rtl/>
        </w:rPr>
        <w:t xml:space="preserve"> אף מסר בעדותו כי מערכת היחסים בין הנתבעת להוריו </w:t>
      </w:r>
      <w:proofErr w:type="spellStart"/>
      <w:r w:rsidRPr="0099157E">
        <w:rPr>
          <w:rFonts w:hint="cs"/>
          <w:rtl/>
        </w:rPr>
        <w:t>היתה</w:t>
      </w:r>
      <w:proofErr w:type="spellEnd"/>
      <w:r w:rsidRPr="0099157E">
        <w:rPr>
          <w:rFonts w:hint="cs"/>
          <w:rtl/>
        </w:rPr>
        <w:t xml:space="preserve"> "מאוד גרועה", כלשונו, ש</w:t>
      </w:r>
      <w:r w:rsidR="008559F4" w:rsidRPr="0099157E">
        <w:rPr>
          <w:rFonts w:hint="cs"/>
          <w:rtl/>
        </w:rPr>
        <w:t xml:space="preserve">אף </w:t>
      </w:r>
      <w:r w:rsidRPr="0099157E">
        <w:rPr>
          <w:rFonts w:hint="cs"/>
          <w:rtl/>
        </w:rPr>
        <w:t xml:space="preserve">כללה השמצות (עמ' 17, </w:t>
      </w:r>
      <w:proofErr w:type="spellStart"/>
      <w:r w:rsidRPr="0099157E">
        <w:rPr>
          <w:rFonts w:hint="cs"/>
          <w:rtl/>
        </w:rPr>
        <w:t>בש</w:t>
      </w:r>
      <w:proofErr w:type="spellEnd"/>
      <w:r w:rsidRPr="0099157E">
        <w:rPr>
          <w:rFonts w:hint="cs"/>
          <w:rtl/>
        </w:rPr>
        <w:t>' 8-2). לכך יש להוסיף את העובדה כי בעת הפרסום, כבר היה ידוע שהנתבעת ו</w:t>
      </w:r>
      <w:r w:rsidR="00000099">
        <w:rPr>
          <w:rFonts w:hint="cs"/>
          <w:rtl/>
        </w:rPr>
        <w:t>הגרוש</w:t>
      </w:r>
      <w:r w:rsidRPr="0099157E">
        <w:rPr>
          <w:rFonts w:hint="cs"/>
          <w:rtl/>
        </w:rPr>
        <w:t xml:space="preserve"> בסכסוך גירושין וכי הם נפרדו. בנסיבות אלו, </w:t>
      </w:r>
      <w:r w:rsidR="008559F4" w:rsidRPr="0099157E">
        <w:rPr>
          <w:rFonts w:hint="cs"/>
          <w:rtl/>
        </w:rPr>
        <w:t>ניתן היה לצפות כי התובע</w:t>
      </w:r>
      <w:r w:rsidR="00B1224F">
        <w:rPr>
          <w:rFonts w:hint="cs"/>
          <w:rtl/>
        </w:rPr>
        <w:t xml:space="preserve"> </w:t>
      </w:r>
      <w:r w:rsidRPr="0099157E">
        <w:rPr>
          <w:rFonts w:hint="cs"/>
          <w:rtl/>
        </w:rPr>
        <w:t xml:space="preserve">ורעייתו </w:t>
      </w:r>
      <w:proofErr w:type="spellStart"/>
      <w:r w:rsidR="0099157E" w:rsidRPr="0099157E">
        <w:rPr>
          <w:rFonts w:hint="cs"/>
          <w:rtl/>
        </w:rPr>
        <w:t>יקחו</w:t>
      </w:r>
      <w:proofErr w:type="spellEnd"/>
      <w:r w:rsidR="0099157E" w:rsidRPr="0099157E">
        <w:rPr>
          <w:rFonts w:hint="cs"/>
          <w:rtl/>
        </w:rPr>
        <w:t xml:space="preserve"> את </w:t>
      </w:r>
      <w:r w:rsidRPr="0099157E">
        <w:rPr>
          <w:rFonts w:hint="cs"/>
          <w:rtl/>
        </w:rPr>
        <w:t xml:space="preserve">הדברים נושא הפרסום "עם גרגר של מלח". </w:t>
      </w:r>
    </w:p>
    <w:p w:rsidR="00FE17CC" w:rsidRPr="0099157E" w:rsidRDefault="00FE17CC" w:rsidP="00FE17CC">
      <w:pPr>
        <w:pStyle w:val="af"/>
        <w:jc w:val="both"/>
      </w:pPr>
    </w:p>
    <w:p w:rsidR="00FE17CC" w:rsidRPr="0099157E" w:rsidRDefault="00FE17CC" w:rsidP="0099157E">
      <w:pPr>
        <w:pStyle w:val="af"/>
        <w:numPr>
          <w:ilvl w:val="0"/>
          <w:numId w:val="1"/>
        </w:numPr>
        <w:spacing w:line="360" w:lineRule="auto"/>
        <w:jc w:val="both"/>
        <w:rPr>
          <w:rtl/>
        </w:rPr>
      </w:pPr>
      <w:r w:rsidRPr="0099157E">
        <w:rPr>
          <w:rtl/>
        </w:rPr>
        <w:lastRenderedPageBreak/>
        <w:t xml:space="preserve">בנוסף, וכאן העיקר, הפרסום נכלל בתביעת גירושין אשר נועדה להימסר לידי </w:t>
      </w:r>
      <w:r w:rsidR="00000099">
        <w:rPr>
          <w:rtl/>
        </w:rPr>
        <w:t>הגרוש</w:t>
      </w:r>
      <w:r w:rsidRPr="0099157E">
        <w:rPr>
          <w:rtl/>
        </w:rPr>
        <w:t xml:space="preserve"> ולידיו בלבד. מדובר בפרסום בודד ולא במסכת שיטתית של פרסומים. כפי שכבר </w:t>
      </w:r>
      <w:proofErr w:type="spellStart"/>
      <w:r w:rsidRPr="0099157E">
        <w:rPr>
          <w:rtl/>
        </w:rPr>
        <w:t>צויין</w:t>
      </w:r>
      <w:proofErr w:type="spellEnd"/>
      <w:r w:rsidRPr="0099157E">
        <w:rPr>
          <w:rtl/>
        </w:rPr>
        <w:t xml:space="preserve">, </w:t>
      </w:r>
      <w:r w:rsidR="00000099">
        <w:rPr>
          <w:rtl/>
        </w:rPr>
        <w:t>הגרוש</w:t>
      </w:r>
      <w:r w:rsidRPr="0099157E">
        <w:rPr>
          <w:rtl/>
        </w:rPr>
        <w:t xml:space="preserve"> הוא זה שבחר לבקש מאביו לא רק לקבל את דבר הדואר עבורו - אף שאביו מסר לו עוד קודם לכן כי הוא מעריך שמדובר במסמך משפטי, ופשיטא שגם </w:t>
      </w:r>
      <w:r w:rsidR="00000099">
        <w:rPr>
          <w:rtl/>
        </w:rPr>
        <w:t>הגרוש</w:t>
      </w:r>
      <w:r w:rsidRPr="0099157E">
        <w:rPr>
          <w:rtl/>
        </w:rPr>
        <w:t xml:space="preserve"> צפה אפשרות זו לנוכח הסכסוך עם הנתבעת - אלא גם לפתוח אותה ולראות במה המדובר. כאמור, ניתן להבין את </w:t>
      </w:r>
      <w:r w:rsidR="00000099">
        <w:rPr>
          <w:rtl/>
        </w:rPr>
        <w:t>הגרוש</w:t>
      </w:r>
      <w:r w:rsidRPr="0099157E">
        <w:rPr>
          <w:rtl/>
        </w:rPr>
        <w:t xml:space="preserve"> שהיה (ועודנו) נתון בלחימה בשל מלחמת חרבות ברזל, אך לא ניתן להתעלם מכך שבקשתו היא זו שחוללה בפועל את נזק. כמו כן, לו התובע היה פותח בעצמו את המעטפה, כפי שהתבקש במסרון ששלח לו </w:t>
      </w:r>
      <w:r w:rsidR="00000099">
        <w:rPr>
          <w:rtl/>
        </w:rPr>
        <w:t>הגרוש</w:t>
      </w:r>
      <w:r w:rsidRPr="0099157E">
        <w:rPr>
          <w:rtl/>
        </w:rPr>
        <w:t xml:space="preserve"> (</w:t>
      </w:r>
      <w:r w:rsidRPr="0099157E">
        <w:rPr>
          <w:b/>
          <w:bCs/>
          <w:u w:val="single"/>
          <w:rtl/>
        </w:rPr>
        <w:t>מוצג ת/1</w:t>
      </w:r>
      <w:r w:rsidRPr="0099157E">
        <w:rPr>
          <w:rtl/>
        </w:rPr>
        <w:t xml:space="preserve">), ולא היה מאפשר עיון מצד רעייתו – כשיוזכר כי ממילא מדובר במסמך חסוי למי שאינו צד להליך שמתקיים בדלתיים סגורות – הרי שכלל התובע לא יכול היה לתבוע לפי </w:t>
      </w:r>
      <w:r w:rsidRPr="0099157E">
        <w:rPr>
          <w:rStyle w:val="default"/>
          <w:rFonts w:ascii="David" w:hAnsi="David" w:cs="David"/>
          <w:rtl/>
        </w:rPr>
        <w:t xml:space="preserve">סעיף 33(ב)(2) לחוק, המגדיר "פרסום" לשון הרע "אם </w:t>
      </w:r>
      <w:proofErr w:type="spellStart"/>
      <w:r w:rsidRPr="0099157E">
        <w:rPr>
          <w:rStyle w:val="default"/>
          <w:rFonts w:ascii="David" w:hAnsi="David" w:cs="David"/>
          <w:rtl/>
        </w:rPr>
        <w:t>היתה</w:t>
      </w:r>
      <w:proofErr w:type="spellEnd"/>
      <w:r w:rsidRPr="0099157E">
        <w:rPr>
          <w:rStyle w:val="default"/>
          <w:rFonts w:ascii="David" w:hAnsi="David" w:cs="David"/>
          <w:rtl/>
        </w:rPr>
        <w:t xml:space="preserve"> בכתב והכתב עשוי היה, לפי הנסיבות להגיע לאדם זולת הנפגע".</w:t>
      </w:r>
      <w:r w:rsidRPr="0099157E">
        <w:rPr>
          <w:rtl/>
        </w:rPr>
        <w:t xml:space="preserve"> </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עוד יש להוסיף כי מדובר בפרסום שנעשה מכל מקום בתפוצה מצומצמת ביותר, בחוג המשפחה הקרובה ביותר, ולא חלילה ברשתות החברתיות או בקרב חוג מכרים רחב.</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לכך יש להוסיף את העובדה כי בטרם הגשת התביעה, ולאחר שנשלח לנתבעת מכתב אתראה לפני הגשת תביעה, שבו היא נדרשה להתנצל וכן לשלם פיצוי לתובע בסך של 75,000 ש"ח (</w:t>
      </w:r>
      <w:r w:rsidRPr="0099157E">
        <w:rPr>
          <w:rFonts w:hint="cs"/>
          <w:b/>
          <w:bCs/>
          <w:u w:val="single"/>
          <w:rtl/>
        </w:rPr>
        <w:t>מוצג ת/3</w:t>
      </w:r>
      <w:r w:rsidRPr="0099157E">
        <w:rPr>
          <w:rFonts w:hint="cs"/>
          <w:rtl/>
        </w:rPr>
        <w:t xml:space="preserve">), הנתבעת במכתב התשובה סירבה </w:t>
      </w:r>
      <w:proofErr w:type="spellStart"/>
      <w:r w:rsidRPr="0099157E">
        <w:rPr>
          <w:rFonts w:hint="cs"/>
          <w:rtl/>
        </w:rPr>
        <w:t>להעתר</w:t>
      </w:r>
      <w:proofErr w:type="spellEnd"/>
      <w:r w:rsidRPr="0099157E">
        <w:rPr>
          <w:rFonts w:hint="cs"/>
          <w:rtl/>
        </w:rPr>
        <w:t xml:space="preserve"> לדרישת הפיצוי, בשל טענתה כי עומדת לה החסינות לפי סע' 13(5) לחוק, אך הבהירה כי כל שהתבקש להבטיח במשלוח הדואר הרשום לכתובת בית מגורי התובע היה כי תבוצע מסירה וכי לא </w:t>
      </w:r>
      <w:proofErr w:type="spellStart"/>
      <w:r w:rsidRPr="0099157E">
        <w:rPr>
          <w:rFonts w:hint="cs"/>
          <w:rtl/>
        </w:rPr>
        <w:t>היתה</w:t>
      </w:r>
      <w:proofErr w:type="spellEnd"/>
      <w:r w:rsidRPr="0099157E">
        <w:rPr>
          <w:rFonts w:hint="cs"/>
          <w:rtl/>
        </w:rPr>
        <w:t xml:space="preserve"> לה כוונה לפגוע, וככל והתובע נפגע, היא מצרה על כך מעומק ליבה (</w:t>
      </w:r>
      <w:r w:rsidRPr="0099157E">
        <w:rPr>
          <w:rFonts w:hint="cs"/>
          <w:b/>
          <w:bCs/>
          <w:u w:val="single"/>
          <w:rtl/>
        </w:rPr>
        <w:t>מוצג נ/3</w:t>
      </w:r>
      <w:r w:rsidRPr="0099157E">
        <w:rPr>
          <w:rFonts w:hint="cs"/>
          <w:rtl/>
        </w:rPr>
        <w:t>).</w:t>
      </w:r>
    </w:p>
    <w:p w:rsidR="00FE17CC" w:rsidRPr="0099157E" w:rsidRDefault="00FE17CC" w:rsidP="00FE17CC">
      <w:pPr>
        <w:pStyle w:val="af"/>
        <w:jc w:val="both"/>
      </w:pPr>
    </w:p>
    <w:p w:rsidR="00FE17CC" w:rsidRPr="0099157E" w:rsidRDefault="00FE17CC" w:rsidP="00F569F8">
      <w:pPr>
        <w:pStyle w:val="af"/>
        <w:numPr>
          <w:ilvl w:val="0"/>
          <w:numId w:val="1"/>
        </w:numPr>
        <w:tabs>
          <w:tab w:val="left" w:pos="1076"/>
        </w:tabs>
        <w:spacing w:after="160" w:line="360" w:lineRule="auto"/>
        <w:jc w:val="both"/>
        <w:rPr>
          <w:rtl/>
        </w:rPr>
      </w:pPr>
      <w:r w:rsidRPr="0099157E">
        <w:rPr>
          <w:rFonts w:hint="cs"/>
          <w:rtl/>
        </w:rPr>
        <w:t xml:space="preserve">בהתחשב במכלול האמור, הרי שכאמור, </w:t>
      </w:r>
      <w:proofErr w:type="spellStart"/>
      <w:r w:rsidRPr="0099157E">
        <w:rPr>
          <w:rFonts w:hint="cs"/>
          <w:rtl/>
        </w:rPr>
        <w:t>סבורתני</w:t>
      </w:r>
      <w:proofErr w:type="spellEnd"/>
      <w:r w:rsidRPr="0099157E">
        <w:rPr>
          <w:rFonts w:hint="cs"/>
          <w:rtl/>
        </w:rPr>
        <w:t xml:space="preserve"> כי </w:t>
      </w:r>
      <w:r w:rsidR="0099157E" w:rsidRPr="0099157E">
        <w:rPr>
          <w:rFonts w:hint="cs"/>
          <w:rtl/>
        </w:rPr>
        <w:t xml:space="preserve">לו </w:t>
      </w:r>
      <w:proofErr w:type="spellStart"/>
      <w:r w:rsidR="0099157E" w:rsidRPr="0099157E">
        <w:rPr>
          <w:rFonts w:hint="cs"/>
          <w:rtl/>
        </w:rPr>
        <w:t>היתה</w:t>
      </w:r>
      <w:proofErr w:type="spellEnd"/>
      <w:r w:rsidR="0099157E" w:rsidRPr="0099157E">
        <w:rPr>
          <w:rFonts w:hint="cs"/>
          <w:rtl/>
        </w:rPr>
        <w:t xml:space="preserve"> נקבעת</w:t>
      </w:r>
      <w:r w:rsidRPr="0099157E">
        <w:rPr>
          <w:rFonts w:hint="cs"/>
          <w:rtl/>
        </w:rPr>
        <w:t xml:space="preserve"> אחריות, </w:t>
      </w:r>
      <w:r w:rsidR="0099157E" w:rsidRPr="0099157E">
        <w:rPr>
          <w:rFonts w:hint="cs"/>
          <w:rtl/>
        </w:rPr>
        <w:t>הרי שהיה מקום להגביל את הפיצוי לתובע ל</w:t>
      </w:r>
      <w:r w:rsidRPr="0099157E">
        <w:rPr>
          <w:rFonts w:hint="cs"/>
          <w:rtl/>
        </w:rPr>
        <w:t xml:space="preserve">סכום </w:t>
      </w:r>
      <w:r w:rsidR="0099157E" w:rsidRPr="0099157E">
        <w:rPr>
          <w:rFonts w:hint="cs"/>
          <w:rtl/>
        </w:rPr>
        <w:t xml:space="preserve">שאינו </w:t>
      </w:r>
      <w:r w:rsidRPr="0099157E">
        <w:rPr>
          <w:rFonts w:hint="cs"/>
          <w:rtl/>
        </w:rPr>
        <w:t>חורג מאלפי שקלים בודדים.</w:t>
      </w:r>
    </w:p>
    <w:p w:rsidR="00FE17CC" w:rsidRPr="0099157E" w:rsidRDefault="00FE17CC" w:rsidP="00FE17CC">
      <w:pPr>
        <w:pStyle w:val="af"/>
        <w:jc w:val="both"/>
      </w:pPr>
    </w:p>
    <w:p w:rsidR="00FE17CC" w:rsidRPr="0099157E" w:rsidRDefault="00FE17CC" w:rsidP="00FE17CC">
      <w:pPr>
        <w:pStyle w:val="af"/>
        <w:jc w:val="both"/>
        <w:rPr>
          <w:b/>
          <w:bCs/>
          <w:sz w:val="28"/>
          <w:szCs w:val="28"/>
          <w:u w:val="single"/>
          <w:rtl/>
        </w:rPr>
      </w:pPr>
      <w:r w:rsidRPr="0099157E">
        <w:rPr>
          <w:rFonts w:hint="cs"/>
          <w:b/>
          <w:bCs/>
          <w:sz w:val="28"/>
          <w:szCs w:val="28"/>
          <w:u w:val="single"/>
          <w:rtl/>
        </w:rPr>
        <w:t>סוף דבר</w:t>
      </w:r>
    </w:p>
    <w:p w:rsidR="00FE17CC" w:rsidRPr="0099157E" w:rsidRDefault="00FE17CC" w:rsidP="00FE17CC">
      <w:pPr>
        <w:pStyle w:val="af"/>
        <w:jc w:val="both"/>
        <w:rPr>
          <w:b/>
          <w:bCs/>
          <w:sz w:val="28"/>
          <w:szCs w:val="28"/>
          <w:u w:val="single"/>
          <w:rtl/>
        </w:rPr>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לנוכח מכלול האמור, התביעה נדחית</w:t>
      </w:r>
      <w:r w:rsidR="00F569F8">
        <w:rPr>
          <w:rFonts w:hint="cs"/>
          <w:rtl/>
        </w:rPr>
        <w:t>,</w:t>
      </w:r>
      <w:r w:rsidRPr="0099157E">
        <w:rPr>
          <w:rFonts w:hint="cs"/>
          <w:rtl/>
        </w:rPr>
        <w:t xml:space="preserve"> הן בשל קיום חסינות לפי סע' 13(5) לחוק איסור לשון הרע, ולחילופין, בשל קיום הגנת תום הלב לפי סע' 15(3) לחוק.</w:t>
      </w:r>
    </w:p>
    <w:p w:rsidR="00FE17CC" w:rsidRPr="0099157E" w:rsidRDefault="00FE17CC" w:rsidP="00FE17CC">
      <w:pPr>
        <w:pStyle w:val="af"/>
        <w:tabs>
          <w:tab w:val="left" w:pos="1076"/>
        </w:tabs>
        <w:spacing w:after="160" w:line="360" w:lineRule="auto"/>
        <w:jc w:val="both"/>
      </w:pPr>
    </w:p>
    <w:p w:rsidR="00FE17CC" w:rsidRPr="0099157E" w:rsidRDefault="00FE17CC" w:rsidP="00FE17CC">
      <w:pPr>
        <w:pStyle w:val="af"/>
        <w:numPr>
          <w:ilvl w:val="0"/>
          <w:numId w:val="1"/>
        </w:numPr>
        <w:tabs>
          <w:tab w:val="left" w:pos="1076"/>
        </w:tabs>
        <w:spacing w:after="160" w:line="360" w:lineRule="auto"/>
        <w:jc w:val="both"/>
      </w:pPr>
      <w:r w:rsidRPr="0099157E">
        <w:rPr>
          <w:rFonts w:hint="cs"/>
          <w:rtl/>
        </w:rPr>
        <w:t>לא מצאתי לתן צו להוצאות בנסיבות הכוללות של המקרה, כמתואר בפסק הדין.</w:t>
      </w:r>
    </w:p>
    <w:p w:rsidR="00FE17CC" w:rsidRPr="0099157E" w:rsidRDefault="00FE17CC" w:rsidP="00FE17CC">
      <w:pPr>
        <w:pStyle w:val="af"/>
        <w:jc w:val="both"/>
      </w:pPr>
    </w:p>
    <w:p w:rsidR="0099157E" w:rsidRPr="0099157E" w:rsidRDefault="00FE17CC" w:rsidP="00F569F8">
      <w:pPr>
        <w:pStyle w:val="af"/>
        <w:numPr>
          <w:ilvl w:val="0"/>
          <w:numId w:val="1"/>
        </w:numPr>
        <w:tabs>
          <w:tab w:val="left" w:pos="1076"/>
        </w:tabs>
        <w:spacing w:after="160" w:line="360" w:lineRule="auto"/>
        <w:jc w:val="both"/>
        <w:rPr>
          <w:rtl/>
        </w:rPr>
      </w:pPr>
      <w:r w:rsidRPr="0099157E">
        <w:rPr>
          <w:rFonts w:hint="cs"/>
          <w:rtl/>
        </w:rPr>
        <w:t xml:space="preserve">פסק הדין יפורסם לאחר השמטת כל פרסם מזהה. </w:t>
      </w:r>
    </w:p>
    <w:p w:rsidR="00FE17CC" w:rsidRPr="0099157E" w:rsidRDefault="00FE17CC" w:rsidP="00FE17CC">
      <w:pPr>
        <w:pStyle w:val="af"/>
        <w:jc w:val="both"/>
      </w:pPr>
    </w:p>
    <w:p w:rsidR="00FE17CC" w:rsidRPr="0099157E" w:rsidRDefault="00FE17CC" w:rsidP="00FE17CC">
      <w:pPr>
        <w:pStyle w:val="af"/>
        <w:numPr>
          <w:ilvl w:val="0"/>
          <w:numId w:val="1"/>
        </w:numPr>
        <w:tabs>
          <w:tab w:val="left" w:pos="1076"/>
        </w:tabs>
        <w:spacing w:after="160" w:line="360" w:lineRule="auto"/>
        <w:jc w:val="both"/>
        <w:rPr>
          <w:rtl/>
        </w:rPr>
      </w:pPr>
      <w:r w:rsidRPr="0099157E">
        <w:rPr>
          <w:rFonts w:hint="cs"/>
          <w:rtl/>
        </w:rPr>
        <w:t xml:space="preserve">התיק </w:t>
      </w:r>
      <w:proofErr w:type="spellStart"/>
      <w:r w:rsidRPr="0099157E">
        <w:rPr>
          <w:rFonts w:hint="cs"/>
          <w:rtl/>
        </w:rPr>
        <w:t>יסגר</w:t>
      </w:r>
      <w:proofErr w:type="spellEnd"/>
      <w:r w:rsidRPr="0099157E">
        <w:rPr>
          <w:rFonts w:hint="cs"/>
          <w:rtl/>
        </w:rPr>
        <w:t>.</w:t>
      </w:r>
    </w:p>
    <w:p w:rsidR="00FE17CC" w:rsidRPr="0099157E" w:rsidRDefault="00FE17CC" w:rsidP="00512817">
      <w:pPr>
        <w:ind w:left="360"/>
        <w:jc w:val="both"/>
      </w:pPr>
    </w:p>
    <w:p w:rsidR="00FE17CC" w:rsidRPr="0099157E" w:rsidRDefault="00FE17CC" w:rsidP="00FE17CC">
      <w:pPr>
        <w:tabs>
          <w:tab w:val="left" w:pos="1076"/>
        </w:tabs>
        <w:spacing w:after="160" w:line="360" w:lineRule="auto"/>
        <w:jc w:val="both"/>
        <w:rPr>
          <w:rtl/>
        </w:rPr>
      </w:pPr>
    </w:p>
    <w:p w:rsidR="002914D6" w:rsidRPr="0099157E" w:rsidRDefault="002914D6">
      <w:pPr>
        <w:spacing w:line="360" w:lineRule="auto"/>
        <w:jc w:val="both"/>
        <w:rPr>
          <w:rFonts w:ascii="Arial" w:hAnsi="Arial"/>
          <w:noProof w:val="0"/>
          <w:rtl/>
        </w:rPr>
      </w:pPr>
    </w:p>
    <w:p w:rsidR="002914D6" w:rsidRPr="0099157E" w:rsidRDefault="002914D6">
      <w:pPr>
        <w:spacing w:line="360" w:lineRule="auto"/>
        <w:jc w:val="both"/>
        <w:rPr>
          <w:rFonts w:ascii="Arial" w:hAnsi="Arial"/>
          <w:noProof w:val="0"/>
          <w:rtl/>
        </w:rPr>
      </w:pPr>
    </w:p>
    <w:p w:rsidR="002914D6" w:rsidRPr="0099157E" w:rsidRDefault="002914D6">
      <w:pPr>
        <w:spacing w:line="360" w:lineRule="auto"/>
        <w:jc w:val="both"/>
        <w:rPr>
          <w:rFonts w:ascii="Arial" w:hAnsi="Arial"/>
          <w:noProof w:val="0"/>
          <w:rtl/>
        </w:rPr>
      </w:pPr>
    </w:p>
    <w:p w:rsidR="002914D6" w:rsidRPr="0099157E" w:rsidRDefault="002914D6">
      <w:pPr>
        <w:spacing w:line="360" w:lineRule="auto"/>
        <w:jc w:val="both"/>
        <w:rPr>
          <w:rFonts w:ascii="Arial" w:hAnsi="Arial"/>
          <w:noProof w:val="0"/>
          <w:rtl/>
        </w:rPr>
      </w:pPr>
    </w:p>
    <w:p w:rsidR="002914D6" w:rsidRPr="0099157E" w:rsidRDefault="00011212">
      <w:pPr>
        <w:spacing w:line="360" w:lineRule="auto"/>
        <w:jc w:val="both"/>
        <w:rPr>
          <w:rFonts w:ascii="Arial" w:hAnsi="Arial"/>
          <w:noProof w:val="0"/>
          <w:rtl/>
        </w:rPr>
      </w:pPr>
      <w:r w:rsidRPr="0099157E">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ב' תמוז תשפ"ד</w:t>
          </w:r>
        </w:sdtContent>
      </w:sdt>
      <w:r w:rsidRPr="0099157E">
        <w:rPr>
          <w:rFonts w:ascii="Arial" w:hAnsi="Arial"/>
          <w:noProof w:val="0"/>
          <w:rtl/>
        </w:rPr>
        <w:t xml:space="preserve">, </w:t>
      </w:r>
      <w:sdt>
        <w:sdtPr>
          <w:rPr>
            <w:rtl/>
          </w:rPr>
          <w:alias w:val="1456"/>
          <w:tag w:val="1456"/>
          <w:id w:val="213085585"/>
          <w:text w:multiLine="1"/>
        </w:sdtPr>
        <w:sdtEndPr/>
        <w:sdtContent>
          <w:r>
            <w:rPr>
              <w:rFonts w:ascii="Arial" w:hAnsi="Arial"/>
              <w:noProof w:val="0"/>
              <w:rtl/>
            </w:rPr>
            <w:t>08 יולי 2024</w:t>
          </w:r>
        </w:sdtContent>
      </w:sdt>
      <w:r w:rsidRPr="0099157E">
        <w:rPr>
          <w:rFonts w:ascii="Arial" w:hAnsi="Arial"/>
          <w:noProof w:val="0"/>
          <w:rtl/>
        </w:rPr>
        <w:t>, בהעדר הצדדים.</w:t>
      </w:r>
    </w:p>
    <w:p w:rsidR="002914D6" w:rsidRPr="0099157E" w:rsidRDefault="002914D6">
      <w:pPr>
        <w:spacing w:line="360" w:lineRule="auto"/>
        <w:jc w:val="both"/>
        <w:rPr>
          <w:rFonts w:ascii="Arial" w:hAnsi="Arial"/>
          <w:noProof w:val="0"/>
          <w:rtl/>
        </w:rPr>
      </w:pPr>
    </w:p>
    <w:p w:rsidR="002914D6" w:rsidRDefault="00521467" w:rsidP="00521467">
      <w:pPr>
        <w:spacing w:line="360" w:lineRule="auto"/>
        <w:jc w:val="center"/>
      </w:pPr>
      <w:r w:rsidRPr="0099157E">
        <w:rPr>
          <w:rtl/>
        </w:rPr>
        <w:tab/>
      </w:r>
      <w:r w:rsidRPr="0099157E">
        <w:rPr>
          <w:rtl/>
        </w:rPr>
        <w:tab/>
      </w:r>
      <w:r w:rsidRPr="0099157E">
        <w:rPr>
          <w:rtl/>
        </w:rPr>
        <w:tab/>
      </w:r>
      <w:sdt>
        <w:sdtPr>
          <w:rPr>
            <w:rtl/>
          </w:rPr>
          <w:alias w:val="MergeField"/>
          <w:tag w:val="1237"/>
          <w:id w:val="632748612"/>
        </w:sdtPr>
        <w:sdtEndPr/>
        <w:sdtContent>
          <w:r w:rsidR="00EE7C08">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1"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32"/>
      <w:headerReference w:type="default" r:id="rId33"/>
      <w:footerReference w:type="even" r:id="rId34"/>
      <w:footerReference w:type="default" r:id="rId35"/>
      <w:headerReference w:type="first" r:id="rId36"/>
      <w:footerReference w:type="first" r:id="rId3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A62" w:rsidRDefault="00896A62">
      <w:r>
        <w:separator/>
      </w:r>
    </w:p>
  </w:endnote>
  <w:endnote w:type="continuationSeparator" w:id="0">
    <w:p w:rsidR="00896A62" w:rsidRDefault="0089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FC" w:rsidRDefault="00C95AF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95AF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95AFC">
      <w:rPr>
        <w:rStyle w:val="ab"/>
        <w:rtl/>
      </w:rPr>
      <w:t>30</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FC" w:rsidRDefault="00C95AF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A62" w:rsidRDefault="00896A62">
      <w:r>
        <w:separator/>
      </w:r>
    </w:p>
  </w:footnote>
  <w:footnote w:type="continuationSeparator" w:id="0">
    <w:p w:rsidR="00896A62" w:rsidRDefault="00896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FC" w:rsidRDefault="00C95A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08 יולי 2024</w:t>
              </w:r>
            </w:p>
          </w:tc>
        </w:sdtContent>
      </w:sdt>
    </w:tr>
    <w:tr w:rsidR="002914D6">
      <w:trPr>
        <w:trHeight w:val="337"/>
        <w:jc w:val="center"/>
      </w:trPr>
      <w:tc>
        <w:tcPr>
          <w:tcW w:w="8721" w:type="dxa"/>
          <w:gridSpan w:val="2"/>
        </w:tcPr>
        <w:p w:rsidR="002914D6" w:rsidRDefault="00896A62" w:rsidP="00000099">
          <w:pPr>
            <w:rPr>
              <w:b/>
              <w:bCs/>
              <w:noProof w:val="0"/>
              <w:sz w:val="26"/>
              <w:szCs w:val="26"/>
              <w:rtl/>
            </w:rPr>
          </w:pPr>
          <w:sdt>
            <w:sdtPr>
              <w:rPr>
                <w:rtl/>
              </w:rPr>
              <w:alias w:val="1170"/>
              <w:tag w:val="1170"/>
              <w:id w:val="-1240940633"/>
              <w:text w:multiLine="1"/>
            </w:sdtPr>
            <w:sdtEndPr/>
            <w:sdtContent>
              <w:proofErr w:type="spellStart"/>
              <w:r w:rsidR="00521467">
                <w:rPr>
                  <w:b/>
                  <w:bCs/>
                  <w:noProof w:val="0"/>
                  <w:sz w:val="26"/>
                  <w:szCs w:val="26"/>
                  <w:rtl/>
                </w:rPr>
                <w:t>תמ"ש</w:t>
              </w:r>
              <w:proofErr w:type="spellEnd"/>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39830-11-23</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000099">
                <w:rPr>
                  <w:rFonts w:hint="cs"/>
                  <w:b/>
                  <w:bCs/>
                  <w:noProof w:val="0"/>
                  <w:sz w:val="26"/>
                  <w:szCs w:val="26"/>
                  <w:rtl/>
                </w:rPr>
                <w:t xml:space="preserve">פלוני </w:t>
              </w:r>
              <w:r w:rsidR="00521467">
                <w:rPr>
                  <w:b/>
                  <w:bCs/>
                  <w:noProof w:val="0"/>
                  <w:sz w:val="26"/>
                  <w:szCs w:val="26"/>
                  <w:rtl/>
                </w:rPr>
                <w:t xml:space="preserve">נ' </w:t>
              </w:r>
              <w:r w:rsidR="00000099">
                <w:rPr>
                  <w:rFonts w:hint="cs"/>
                  <w:b/>
                  <w:bCs/>
                  <w:noProof w:val="0"/>
                  <w:sz w:val="26"/>
                  <w:szCs w:val="26"/>
                  <w:rtl/>
                </w:rPr>
                <w:t>אלמונית</w:t>
              </w:r>
            </w:sdtContent>
          </w:sdt>
        </w:p>
        <w:p w:rsidR="002914D6" w:rsidRDefault="002914D6">
          <w:pPr>
            <w:rPr>
              <w:rtl/>
            </w:rPr>
          </w:pPr>
        </w:p>
        <w:p w:rsidR="008B1154" w:rsidRDefault="008B1154">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FC" w:rsidRDefault="00C95A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C00B5"/>
    <w:multiLevelType w:val="hybridMultilevel"/>
    <w:tmpl w:val="049C4C4E"/>
    <w:lvl w:ilvl="0" w:tplc="04A23CDA">
      <w:start w:val="1"/>
      <w:numFmt w:val="decimal"/>
      <w:lvlText w:val="(%1)"/>
      <w:lvlJc w:val="left"/>
      <w:pPr>
        <w:ind w:left="1720" w:hanging="360"/>
      </w:pPr>
    </w:lvl>
    <w:lvl w:ilvl="1" w:tplc="04090019">
      <w:start w:val="1"/>
      <w:numFmt w:val="lowerLetter"/>
      <w:lvlText w:val="%2."/>
      <w:lvlJc w:val="left"/>
      <w:pPr>
        <w:ind w:left="2440" w:hanging="360"/>
      </w:pPr>
    </w:lvl>
    <w:lvl w:ilvl="2" w:tplc="0409001B">
      <w:start w:val="1"/>
      <w:numFmt w:val="lowerRoman"/>
      <w:lvlText w:val="%3."/>
      <w:lvlJc w:val="right"/>
      <w:pPr>
        <w:ind w:left="3160" w:hanging="180"/>
      </w:pPr>
    </w:lvl>
    <w:lvl w:ilvl="3" w:tplc="0409000F">
      <w:start w:val="1"/>
      <w:numFmt w:val="decimal"/>
      <w:lvlText w:val="%4."/>
      <w:lvlJc w:val="left"/>
      <w:pPr>
        <w:ind w:left="3880" w:hanging="360"/>
      </w:pPr>
    </w:lvl>
    <w:lvl w:ilvl="4" w:tplc="04090019">
      <w:start w:val="1"/>
      <w:numFmt w:val="lowerLetter"/>
      <w:lvlText w:val="%5."/>
      <w:lvlJc w:val="left"/>
      <w:pPr>
        <w:ind w:left="4600" w:hanging="360"/>
      </w:pPr>
    </w:lvl>
    <w:lvl w:ilvl="5" w:tplc="0409001B">
      <w:start w:val="1"/>
      <w:numFmt w:val="lowerRoman"/>
      <w:lvlText w:val="%6."/>
      <w:lvlJc w:val="right"/>
      <w:pPr>
        <w:ind w:left="5320" w:hanging="180"/>
      </w:pPr>
    </w:lvl>
    <w:lvl w:ilvl="6" w:tplc="0409000F">
      <w:start w:val="1"/>
      <w:numFmt w:val="decimal"/>
      <w:lvlText w:val="%7."/>
      <w:lvlJc w:val="left"/>
      <w:pPr>
        <w:ind w:left="6040" w:hanging="360"/>
      </w:pPr>
    </w:lvl>
    <w:lvl w:ilvl="7" w:tplc="04090019">
      <w:start w:val="1"/>
      <w:numFmt w:val="lowerLetter"/>
      <w:lvlText w:val="%8."/>
      <w:lvlJc w:val="left"/>
      <w:pPr>
        <w:ind w:left="6760" w:hanging="360"/>
      </w:pPr>
    </w:lvl>
    <w:lvl w:ilvl="8" w:tplc="0409001B">
      <w:start w:val="1"/>
      <w:numFmt w:val="lowerRoman"/>
      <w:lvlText w:val="%9."/>
      <w:lvlJc w:val="right"/>
      <w:pPr>
        <w:ind w:left="7480" w:hanging="180"/>
      </w:pPr>
    </w:lvl>
  </w:abstractNum>
  <w:abstractNum w:abstractNumId="1" w15:restartNumberingAfterBreak="0">
    <w:nsid w:val="70D32EE9"/>
    <w:multiLevelType w:val="hybridMultilevel"/>
    <w:tmpl w:val="8A9CE724"/>
    <w:lvl w:ilvl="0" w:tplc="17F47266">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641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64140&amp;lt;/CaseID&amp;gt;_x000d__x000a_        &amp;lt;CaseMonth&amp;gt;11&amp;lt;/CaseMonth&amp;gt;_x000d__x000a_        &amp;lt;CaseYear&amp;gt;2023&amp;lt;/CaseYear&amp;gt;_x000d__x000a_        &amp;lt;CaseNumber&amp;gt;39830&amp;lt;/CaseNumber&amp;gt;_x000d__x000a_        &amp;lt;NumeratorGroupID&amp;gt;1&amp;lt;/NumeratorGroupID&amp;gt;_x000d__x000a_        &amp;lt;CaseName&amp;gt;זקן נ&amp;#39; דולב זקן&amp;lt;/CaseName&amp;gt;_x000d__x000a_        &amp;lt;CourtID&amp;gt;30&amp;lt;/CourtID&amp;gt;_x000d__x000a_        &amp;lt;CaseTypeID&amp;gt;15&amp;lt;/CaseTypeID&amp;gt;_x000d__x000a_        &amp;lt;CaseInterestID&amp;gt;10115&amp;lt;/CaseInterestID&amp;gt;_x000d__x000a_        &amp;lt;CaseJudgeName&amp;gt;מיכל ברדנשטיי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9830-11-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04T09:00:00+03:00&amp;lt;/CasePreviousSessionDate&amp;gt;_x000d__x000a_        &amp;lt;CaseNextDeterminingTask&amp;gt;34&amp;lt;/CaseNextDeterminingTask&amp;gt;_x000d__x000a_        &amp;lt;TemporaryAidStatus /&amp;gt;_x000d__x000a_        &amp;lt;CaseOpenDate&amp;gt;2023-11-19T14:29: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amp;gt;התקבל תיק מוצגים כרוך מטעם התובע - הועבר לדנה &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64140&amp;lt;/CaseID&amp;gt;_x000d__x000a_        &amp;lt;CaseMonth&amp;gt;11&amp;lt;/CaseMonth&amp;gt;_x000d__x000a_        &amp;lt;CaseYear&amp;gt;2023&amp;lt;/CaseYear&amp;gt;_x000d__x000a_        &amp;lt;CaseNumber&amp;gt;39830&amp;lt;/CaseNumber&amp;gt;_x000d__x000a_        &amp;lt;NumeratorGroupID&amp;gt;1&amp;lt;/NumeratorGroupID&amp;gt;_x000d__x000a_        &amp;lt;CaseName&amp;gt;זקן נ&amp;#39; דולב זקן&amp;lt;/CaseName&amp;gt;_x000d__x000a_        &amp;lt;CourtID&amp;gt;30&amp;lt;/CourtID&amp;gt;_x000d__x000a_        &amp;lt;CaseTypeID&amp;gt;15&amp;lt;/CaseTypeID&amp;gt;_x000d__x000a_        &amp;lt;CaseInterestID&amp;gt;10115&amp;lt;/CaseInterestID&amp;gt;_x000d__x000a_        &amp;lt;CaseJudgeName&amp;gt;מיכל ברדנשטיי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9830-11-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3-11-19T14:29: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amp;gt;התקבל תיק מוצגים כרוך מטעם התובע - הועבר לדנ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08T19:32:01.3495688+03:00&amp;lt;/DecisionStatusChangeDate&amp;gt;_x000d__x000a_        &amp;lt;DecisionSignatureDate&amp;gt;2024-07-08T19:32:01.3495688+03:00&amp;lt;/DecisionSignatureDate&amp;gt;_x000d__x000a_        &amp;lt;DecisionSignatureUserID&amp;gt;058463142@GOV.IL&amp;lt;/DecisionSignatureUserID&amp;gt;_x000d__x000a_        &amp;lt;DecisionCreateDate&amp;gt;2024-07-08T19:32:01.3495688+03:00&amp;lt;/DecisionCreateDate&amp;gt;_x000d__x000a_        &amp;lt;DecisionChangeDate&amp;gt;2024-07-08T19:32:01.3495688+03: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76414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30"/>
    <w:docVar w:name="NGCS.TemplateProceedingID" w:val="3"/>
    <w:docVar w:name="SelectedDocumentID" w:val="448166607"/>
    <w:docVar w:name="WordClientAssemblyName" w:val="NGCS.Decision.ClientWordBL"/>
    <w:docVar w:name="WordClientClassName" w:val="NGCS.Decision.ClientWordBL.DecisionClient"/>
  </w:docVars>
  <w:rsids>
    <w:rsidRoot w:val="002914D6"/>
    <w:rsid w:val="00000099"/>
    <w:rsid w:val="00000C20"/>
    <w:rsid w:val="00011212"/>
    <w:rsid w:val="000320EA"/>
    <w:rsid w:val="00065C1E"/>
    <w:rsid w:val="000B607D"/>
    <w:rsid w:val="000D5293"/>
    <w:rsid w:val="000E175A"/>
    <w:rsid w:val="0010528C"/>
    <w:rsid w:val="00110618"/>
    <w:rsid w:val="0012127A"/>
    <w:rsid w:val="001215F7"/>
    <w:rsid w:val="00232610"/>
    <w:rsid w:val="00276764"/>
    <w:rsid w:val="002914D6"/>
    <w:rsid w:val="002F5307"/>
    <w:rsid w:val="00512817"/>
    <w:rsid w:val="00521467"/>
    <w:rsid w:val="00620A51"/>
    <w:rsid w:val="00627C69"/>
    <w:rsid w:val="006A612D"/>
    <w:rsid w:val="007A08A2"/>
    <w:rsid w:val="00805732"/>
    <w:rsid w:val="00822AA5"/>
    <w:rsid w:val="008559F4"/>
    <w:rsid w:val="008757D3"/>
    <w:rsid w:val="00885518"/>
    <w:rsid w:val="00896A62"/>
    <w:rsid w:val="008B1154"/>
    <w:rsid w:val="00986C12"/>
    <w:rsid w:val="00990EBC"/>
    <w:rsid w:val="0099157E"/>
    <w:rsid w:val="009B713C"/>
    <w:rsid w:val="009E673C"/>
    <w:rsid w:val="00A376EF"/>
    <w:rsid w:val="00A40627"/>
    <w:rsid w:val="00A62D3C"/>
    <w:rsid w:val="00B03826"/>
    <w:rsid w:val="00B1224F"/>
    <w:rsid w:val="00BE41F9"/>
    <w:rsid w:val="00C227C9"/>
    <w:rsid w:val="00C65539"/>
    <w:rsid w:val="00C95AFC"/>
    <w:rsid w:val="00D05628"/>
    <w:rsid w:val="00D06DC6"/>
    <w:rsid w:val="00D358FE"/>
    <w:rsid w:val="00D40CC1"/>
    <w:rsid w:val="00D50559"/>
    <w:rsid w:val="00D54B3A"/>
    <w:rsid w:val="00DB54C4"/>
    <w:rsid w:val="00DC0198"/>
    <w:rsid w:val="00DC2BBE"/>
    <w:rsid w:val="00DE7315"/>
    <w:rsid w:val="00E005BF"/>
    <w:rsid w:val="00E50BBB"/>
    <w:rsid w:val="00EE7C08"/>
    <w:rsid w:val="00F03998"/>
    <w:rsid w:val="00F50E07"/>
    <w:rsid w:val="00F569F8"/>
    <w:rsid w:val="00F73D56"/>
    <w:rsid w:val="00F9100E"/>
    <w:rsid w:val="00F91E64"/>
    <w:rsid w:val="00FA40E8"/>
    <w:rsid w:val="00FE17CC"/>
    <w:rsid w:val="00FE35E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character" w:styleId="Hyperlink">
    <w:name w:val="Hyperlink"/>
    <w:semiHidden/>
    <w:unhideWhenUsed/>
    <w:rsid w:val="00FE17CC"/>
    <w:rPr>
      <w:rFonts w:ascii="Times New Roman" w:hAnsi="Times New Roman" w:cs="Times New Roman" w:hint="default"/>
      <w:color w:val="0000FF"/>
      <w:u w:val="single"/>
    </w:rPr>
  </w:style>
  <w:style w:type="paragraph" w:styleId="ad">
    <w:name w:val="Plain Text"/>
    <w:basedOn w:val="a"/>
    <w:link w:val="ae"/>
    <w:semiHidden/>
    <w:unhideWhenUsed/>
    <w:rsid w:val="00FE17CC"/>
    <w:rPr>
      <w:rFonts w:ascii="Consolas" w:hAnsi="Consolas" w:cs="Arial"/>
      <w:noProof w:val="0"/>
      <w:sz w:val="21"/>
      <w:szCs w:val="21"/>
    </w:rPr>
  </w:style>
  <w:style w:type="character" w:customStyle="1" w:styleId="ae">
    <w:name w:val="טקסט רגיל תו"/>
    <w:basedOn w:val="a0"/>
    <w:link w:val="ad"/>
    <w:semiHidden/>
    <w:rsid w:val="00FE17CC"/>
    <w:rPr>
      <w:rFonts w:ascii="Consolas" w:hAnsi="Consolas" w:cs="Arial"/>
      <w:sz w:val="21"/>
      <w:szCs w:val="21"/>
    </w:rPr>
  </w:style>
  <w:style w:type="paragraph" w:styleId="af">
    <w:name w:val="List Paragraph"/>
    <w:basedOn w:val="a"/>
    <w:uiPriority w:val="34"/>
    <w:qFormat/>
    <w:rsid w:val="00FE17CC"/>
    <w:pPr>
      <w:ind w:left="720"/>
      <w:contextualSpacing/>
    </w:pPr>
    <w:rPr>
      <w:rFonts w:ascii="David" w:eastAsia="David" w:hAnsi="David"/>
      <w:noProof w:val="0"/>
    </w:rPr>
  </w:style>
  <w:style w:type="character" w:customStyle="1" w:styleId="Ruller4">
    <w:name w:val="Ruller4 תו"/>
    <w:basedOn w:val="a0"/>
    <w:link w:val="Ruller40"/>
    <w:locked/>
    <w:rsid w:val="00FE17CC"/>
    <w:rPr>
      <w:rFonts w:ascii="Arial TUR" w:hAnsi="Arial TUR" w:cs="FrankRuehl"/>
      <w:spacing w:val="10"/>
      <w:szCs w:val="28"/>
    </w:rPr>
  </w:style>
  <w:style w:type="paragraph" w:customStyle="1" w:styleId="Ruller40">
    <w:name w:val="Ruller4"/>
    <w:basedOn w:val="a"/>
    <w:link w:val="Ruller4"/>
    <w:rsid w:val="00FE17CC"/>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David">
    <w:name w:val="סגנון (עברית ושפות אחרות) David מיושר לשני הצדדים מרווח בין שורות..."/>
    <w:basedOn w:val="a"/>
    <w:rsid w:val="00FE17CC"/>
    <w:pPr>
      <w:spacing w:line="360" w:lineRule="auto"/>
      <w:jc w:val="both"/>
    </w:pPr>
    <w:rPr>
      <w:noProof w:val="0"/>
    </w:rPr>
  </w:style>
  <w:style w:type="paragraph" w:customStyle="1" w:styleId="1">
    <w:name w:val="פיסקת רשימה1"/>
    <w:basedOn w:val="a"/>
    <w:qFormat/>
    <w:rsid w:val="00FE17CC"/>
    <w:pPr>
      <w:spacing w:after="160" w:line="254" w:lineRule="auto"/>
      <w:ind w:left="720"/>
      <w:contextualSpacing/>
    </w:pPr>
    <w:rPr>
      <w:rFonts w:ascii="Calibri" w:hAnsi="Calibri" w:cs="Arial"/>
      <w:noProof w:val="0"/>
      <w:sz w:val="22"/>
      <w:szCs w:val="22"/>
    </w:rPr>
  </w:style>
  <w:style w:type="character" w:styleId="af0">
    <w:name w:val="footnote reference"/>
    <w:semiHidden/>
    <w:unhideWhenUsed/>
    <w:rsid w:val="00FE17CC"/>
    <w:rPr>
      <w:vertAlign w:val="superscript"/>
    </w:rPr>
  </w:style>
  <w:style w:type="character" w:customStyle="1" w:styleId="default">
    <w:name w:val="default"/>
    <w:rsid w:val="00FE17CC"/>
    <w:rPr>
      <w:rFonts w:ascii="Times New Roman" w:hAnsi="Times New Roman" w:cs="Times New Roman" w:hint="default"/>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530166">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4372/14" TargetMode="External"/><Relationship Id="rId18" Type="http://schemas.openxmlformats.org/officeDocument/2006/relationships/hyperlink" Target="http://www.nevo.co.il/case/5676160" TargetMode="External"/><Relationship Id="rId26" Type="http://schemas.openxmlformats.org/officeDocument/2006/relationships/hyperlink" Target="http://www.nevo.co.il/law/74372/13.5" TargetMode="External"/><Relationship Id="rId39" Type="http://schemas.openxmlformats.org/officeDocument/2006/relationships/theme" Target="theme/theme1.xml"/><Relationship Id="rId21" Type="http://schemas.openxmlformats.org/officeDocument/2006/relationships/hyperlink" Target="http://www.nevo.co.il/law/74372"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nevo.co.il/law/74372/13" TargetMode="External"/><Relationship Id="rId17" Type="http://schemas.openxmlformats.org/officeDocument/2006/relationships/hyperlink" Target="http://www.nevo.co.il/law/74372/15" TargetMode="External"/><Relationship Id="rId25" Type="http://schemas.openxmlformats.org/officeDocument/2006/relationships/hyperlink" Target="http://www.nevo.co.il/case/5905875"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law/74372/14" TargetMode="External"/><Relationship Id="rId20" Type="http://schemas.openxmlformats.org/officeDocument/2006/relationships/hyperlink" Target="http://www.nevo.co.il/law/74372" TargetMode="External"/><Relationship Id="rId29" Type="http://schemas.openxmlformats.org/officeDocument/2006/relationships/hyperlink" Target="http://www.nevo.co.il/law/74372/7a"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372/2" TargetMode="External"/><Relationship Id="rId24" Type="http://schemas.openxmlformats.org/officeDocument/2006/relationships/hyperlink" Target="http://www.nevo.co.il/case/17920485"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nevo.co.il/law/74372/16" TargetMode="External"/><Relationship Id="rId23" Type="http://schemas.openxmlformats.org/officeDocument/2006/relationships/hyperlink" Target="http://www.nevo.co.il/law/74372" TargetMode="External"/><Relationship Id="rId28" Type="http://schemas.openxmlformats.org/officeDocument/2006/relationships/hyperlink" Target="http://www.nevo.co.il/case/5746390" TargetMode="External"/><Relationship Id="rId36" Type="http://schemas.openxmlformats.org/officeDocument/2006/relationships/header" Target="header3.xml"/><Relationship Id="rId10" Type="http://schemas.openxmlformats.org/officeDocument/2006/relationships/hyperlink" Target="http://www.nevo.co.il/law/74372/1" TargetMode="External"/><Relationship Id="rId19" Type="http://schemas.openxmlformats.org/officeDocument/2006/relationships/hyperlink" Target="http://www.nevo.co.il/law/74372/13.5" TargetMode="External"/><Relationship Id="rId31"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372/15" TargetMode="External"/><Relationship Id="rId22" Type="http://schemas.openxmlformats.org/officeDocument/2006/relationships/hyperlink" Target="http://www.nevo.co.il/law/74372/7" TargetMode="External"/><Relationship Id="rId27" Type="http://schemas.openxmlformats.org/officeDocument/2006/relationships/hyperlink" Target="http://www.nevo.co.il/safrut/bookgroup/434" TargetMode="External"/><Relationship Id="rId30" Type="http://schemas.openxmlformats.org/officeDocument/2006/relationships/hyperlink" Target="http://www.nevo.co.il/case/5973609" TargetMode="External"/><Relationship Id="rId35"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אבישג זקן ויסנברג</FullName>
        <FirstName>אבישג זקן</FirstName>
        <LastName>ויסנברג</LastName>
        <PartyPropertyName/>
        <AuthenticationTypeAndNumber>ת"ז 040094385</AuthenticationTypeAndNumber>
        <RepresentatedOrRepresentativesNames/>
        <RepresentatedOrRepresentativesCount>0</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268193048</CasePartyID>
        <PartyTypeID>4</PartyTypeID>
        <ActivityStatusID>1</ActivityStatusID>
        <PartyAliasID>61</PartyAliasID>
        <PartyAliasName>עד תביעה</PartyAliasName>
        <LegalEntityID>13079611</LegalEntityID>
        <CaseLegalEntityID>128300471</CaseLegalEntityID>
        <AuthenticationTypeID>1</AuthenticationTypeID>
        <AuthenticationTypeName>ת"ז</AuthenticationTypeName>
        <LegalEntityNumber>040094385</LegalEntityNumber>
        <IsMainPartyType>true</IsMainPartyType>
        <CaseDisplayIdentifier>39830-11-23</CaseDisplayIdentifier>
        <CaseTypeID>15</CaseTypeID>
        <CaseTypeName>תיק משפחה (תמ"ש)</CaseTypeName>
        <CaseName>זקן נ' דולב זקן</CaseName>
        <FullAddress>דוכיפת 45 מודיעין-מכבים-רעות* </FullAddress>
        <MotionID>0</MotionID>
        <CasePleaID>0</CasePleaID>
        <FatherName>אריה</FatherName>
        <LinkedCaseID>0</LinkedCaseID>
        <PartyID>1</PartyID>
        <CasePartyCategoryID>2</CasePartyCategoryID>
        <LegalEntityAddressID>89124246</LegalEntityAddressID>
        <PleaTypeID>4</PleaTypeID>
        <GroupPartyAlias/>
        <IsConverted>false</IsConverted>
        <LegalEntityNameID>96350707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אבישג זקן ויסנברג</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עמרי זקן</FullName>
        <FirstName>עמרי</FirstName>
        <LastName>זקן</LastName>
        <PartyPropertyName/>
        <AuthenticationTypeAndNumber>ת"ז </AuthenticationTypeAndNumber>
        <RepresentatedOrRepresentativesNames/>
        <RepresentatedOrRepresentativesCount>0</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268193291</CasePartyID>
        <PartyTypeID>4</PartyTypeID>
        <ActivityStatusID>1</ActivityStatusID>
        <PartyAliasID>101</PartyAliasID>
        <PartyAliasName>עד בית משפט</PartyAliasName>
        <LegalEntityID>81815496</LegalEntityID>
        <CaseLegalEntityID>128300531</CaseLegalEntityID>
        <AuthenticationTypeID>1</AuthenticationTypeID>
        <AuthenticationTypeName>ת"ז</AuthenticationTypeName>
        <IsMainPartyType>true</IsMainPartyType>
        <CaseDisplayIdentifier>39830-11-23</CaseDisplayIdentifier>
        <CaseTypeID>15</CaseTypeID>
        <CaseTypeName>תיק משפחה (תמ"ש)</CaseTypeName>
        <CaseName>זקן נ' דולב זקן</CaseName>
        <FullAddress>הארבל 3 אורנית </FullAddress>
        <MotionID>0</MotionID>
        <CasePleaID>0</CasePleaID>
        <LinkedCaseID>0</LinkedCaseID>
        <PartyID>1</PartyID>
        <CasePartyCategoryID>2</CasePartyCategoryID>
        <LegalEntityAddressID>89124267</LegalEntityAddressID>
        <PleaTypeID>4</PleaTypeID>
        <GroupPartyAlias/>
        <IsConverted>false</IsConverted>
        <LegalEntityNameID>96350728</LegalEntityNameID>
        <RepresentatedNamesOfAssistant/>
        <LegalEntityTypeID>1</LegalEntityTypeID>
        <IsVerdictExists>false</IsVerdictExists>
        <IsAsirAzir>false</IsAsirAzir>
        <MainAndSecSpec/>
        <IsPublicationProhibited>false</IsPublicationProhibited>
        <PublicationProhibitedFullName>עמרי זקן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יוני ג'ורנו</FullName>
        <FirstName>יוני</FirstName>
        <LastName>ג'ורנו</LastName>
        <PartyPropertyName/>
        <AuthenticationTypeAndNumber>מ.ר. 80045</AuthenticationTypeAndNumber>
        <RepresentatedOrRepresentativesNames>אורלי דולב</RepresentatedOrRepresentativesNames>
        <RepresentatedOrRepresentativesCount>1</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263200929</CasePartyID>
        <PartyTypeID>2</PartyTypeID>
        <ActivityStatusID>1</ActivityStatusID>
        <PartyAliasID>21</PartyAliasID>
        <PartyAliasName>בא כוח נתבעים</PartyAliasName>
        <LegalEntityID>76963225</LegalEntityID>
        <CaseLegalEntityID>126840390</CaseLegalEntityID>
        <AuthenticationTypeID>4</AuthenticationTypeID>
        <AuthenticationTypeName>מ.ר.</AuthenticationTypeName>
        <LegalEntityNumber>80045</LegalEntityNumber>
        <IsMainPartyType>true</IsMainPartyType>
        <CaseDisplayIdentifier>39830-11-23</CaseDisplayIdentifier>
        <CaseTypeID>15</CaseTypeID>
        <CaseTypeName>תיק משפחה (תמ"ש)</CaseTypeName>
        <CaseName>זקן נ' דולב זקן</CaseName>
        <FullAddress>גרינבוים 10/3 נתניה </FullAddress>
        <EmailAddress>yoniamit.law@gmail.com</EmailAddress>
        <MotionID>0</MotionID>
        <CasePleaID>0</CasePleaID>
        <LinkedCaseID>0</LinkedCaseID>
        <PartyID>2</PartyID>
        <CasePartyCategoryID>2</CasePartyCategoryID>
        <LegalEntityAddressID>84118376</LegalEntityAddressID>
        <LegalEntityEmailAddressID>68246086</LegalEntityEmailAddressID>
        <PleaTypeID>4</PleaTypeID>
        <LawyerOfficeName>יוני ג'רונו</LawyerOfficeName>
        <LawyerOfficeID>79097070</LawyerOfficeID>
        <GroupPartyAlias/>
        <IsConverted>false</IsConverted>
        <LegalEntityNameID>85189627</LegalEntityNameID>
        <RepresentatedNamesOfAssistant/>
        <LegalEntityTypeID>4</LegalEntityTypeID>
        <IsVerdictExists>false</IsVerdictExists>
        <IsAsirAzir>false</IsAsirAzir>
        <MainAndSecSpec/>
        <IsPublicationProhibited>false</IsPublicationProhibited>
        <PublicationProhibitedFullName>יוני ג'ורנו</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קרן שריקי</FullName>
        <FirstName>קרן</FirstName>
        <LastName>שריקי</LastName>
        <PartyPropertyName/>
        <AuthenticationTypeAndNumber>ת"ז 200060614</AuthenticationTypeAndNumber>
        <RepresentatedOrRepresentativesNames/>
        <RepresentatedOrRepresentativesCount>0</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268193635</CasePartyID>
        <PartyTypeID>4</PartyTypeID>
        <ActivityStatusID>1</ActivityStatusID>
        <PartyAliasID>62</PartyAliasID>
        <PartyAliasName>עד הגנה</PartyAliasName>
        <LegalEntityID>81815513</LegalEntityID>
        <CaseLegalEntityID>128300657</CaseLegalEntityID>
        <AuthenticationTypeID>1</AuthenticationTypeID>
        <AuthenticationTypeName>ת"ז</AuthenticationTypeName>
        <LegalEntityNumber>200060614</LegalEntityNumber>
        <IsMainPartyType>true</IsMainPartyType>
        <CaseDisplayIdentifier>39830-11-23</CaseDisplayIdentifier>
        <CaseTypeID>15</CaseTypeID>
        <CaseTypeName>תיק משפחה (תמ"ש)</CaseTypeName>
        <CaseName>זקן נ' דולב זקן</CaseName>
        <FullAddress>יחזקאל 20 חולון </FullAddress>
        <MotionID>0</MotionID>
        <CasePleaID>0</CasePleaID>
        <LinkedCaseID>0</LinkedCaseID>
        <PartyID>2</PartyID>
        <CasePartyCategoryID>2</CasePartyCategoryID>
        <LegalEntityAddressID>89124308</LegalEntityAddressID>
        <PleaTypeID>4</PleaTypeID>
        <GroupPartyAlias/>
        <IsConverted>false</IsConverted>
        <LegalEntityNameID>96350776</LegalEntityNameID>
        <RepresentatedNamesOfAssistant/>
        <LegalEntityTypeID>1</LegalEntityTypeID>
        <IsVerdictExists>false</IsVerdictExists>
        <IsAsirAzir>false</IsAsirAzir>
        <MainAndSecSpec/>
        <IsPublicationProhibited>false</IsPublicationProhibited>
        <PublicationProhibitedFullName>קרן שריקי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פלורה זקן</FullName>
        <FirstName>פלורה</FirstName>
        <LastName>זקן</LastName>
        <PartyPropertyName/>
        <AuthenticationTypeAndNumber>ת"ז 053621439</AuthenticationTypeAndNumber>
        <RepresentatedOrRepresentativesNames/>
        <RepresentatedOrRepresentativesCount>0</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268192730</CasePartyID>
        <PartyTypeID>4</PartyTypeID>
        <ActivityStatusID>1</ActivityStatusID>
        <PartyAliasID>101</PartyAliasID>
        <PartyAliasName>עד בית משפט</PartyAliasName>
        <OrdinalNumber>1</OrdinalNumber>
        <LegalEntityID>78224030</LegalEntityID>
        <CaseLegalEntityID>128300390</CaseLegalEntityID>
        <AuthenticationTypeID>1</AuthenticationTypeID>
        <AuthenticationTypeName>ת"ז</AuthenticationTypeName>
        <LegalEntityNumber>053621439</LegalEntityNumber>
        <IsMainPartyType>true</IsMainPartyType>
        <CaseDisplayIdentifier>39830-11-23</CaseDisplayIdentifier>
        <CaseTypeID>15</CaseTypeID>
        <CaseTypeName>תיק משפחה (תמ"ש)</CaseTypeName>
        <CaseName>זקן נ' דולב זקן</CaseName>
        <FullAddress>רמה 15 גבעת זאב </FullAddress>
        <MotionID>0</MotionID>
        <CasePleaID>0</CasePleaID>
        <FatherName>אברהם</FatherName>
        <LinkedCaseID>0</LinkedCaseID>
        <PartyID>1</PartyID>
        <CasePartyCategoryID>2</CasePartyCategoryID>
        <LegalEntityAddressID>89124256</LegalEntityAddressID>
        <PleaTypeID>4</PleaTypeID>
        <GroupPartyAlias/>
        <IsConverted>false</IsConverted>
        <LegalEntityRegisteredNameID>8690884</LegalEntityRegisteredNameID>
        <LegalEntityNameID>96350680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פלורה זקן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אריה זקן</FullName>
        <FirstName>אריה</FirstName>
        <LastName>זקן</LastName>
        <PartyPropertyName/>
        <AuthenticationTypeAndNumber>ת"ז 053614178</AuthenticationTypeAndNumber>
        <RepresentatedOrRepresentativesNames>באסל אסמעיל</RepresentatedOrRepresentativesNames>
        <RepresentatedOrRepresentativesCount>1</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262686132</CasePartyID>
        <PartyTypeID>1</PartyTypeID>
        <ActivityStatusID>1</ActivityStatusID>
        <PartyAliasID>1</PartyAliasID>
        <PartyAliasName>תובע</PartyAliasName>
        <OrdinalNumber>1</OrdinalNumber>
        <LegalEntityID>46291157</LegalEntityID>
        <CaseLegalEntityID>126680617</CaseLegalEntityID>
        <AuthenticationTypeID>1</AuthenticationTypeID>
        <AuthenticationTypeName>ת"ז</AuthenticationTypeName>
        <LegalEntityNumber>053614178</LegalEntityNumber>
        <IsMainPartyType>true</IsMainPartyType>
        <CaseDisplayIdentifier>39830-11-23</CaseDisplayIdentifier>
        <CaseTypeID>15</CaseTypeID>
        <CaseTypeName>תיק משפחה (תמ"ש)</CaseTypeName>
        <CaseName>זקן נ' דולב זקן</CaseName>
        <FullAddress>רמה 15 גבעת זאב </FullAddress>
        <MotionID>0</MotionID>
        <CasePleaID>0</CasePleaID>
        <FatherName>עבדל</FatherName>
        <LinkedCaseID>0</LinkedCaseID>
        <PartyID>1</PartyID>
        <CasePartyCategoryID>2</CasePartyCategoryID>
        <LegalEntityAddressID>88626904</LegalEntityAddressID>
        <PleaTypeID>4</PleaTypeID>
        <GroupPartyAlias>תובעים</GroupPartyAlias>
        <IsConverted>false</IsConverted>
        <LegalEntityRegisteredNameID>2427293</LegalEntityRegisteredNameID>
        <LegalEntityNameID>95738990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אריה זקן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באסל אסמעיל</FullName>
        <FirstName>באסל</FirstName>
        <LastName>אסמעיל</LastName>
        <PartyPropertyName/>
        <AuthenticationTypeAndNumber>מ.ר. 58097</AuthenticationTypeAndNumber>
        <RepresentatedOrRepresentativesNames>אריה זקן</RepresentatedOrRepresentativesNames>
        <RepresentatedOrRepresentativesCount>1</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262686133</CasePartyID>
        <PartyTypeID>2</PartyTypeID>
        <ActivityStatusID>1</ActivityStatusID>
        <PartyAliasID>20</PartyAliasID>
        <PartyAliasName>בא כוח תובעים</PartyAliasName>
        <OrdinalNumber>1</OrdinalNumber>
        <LegalEntityID>71211680</LegalEntityID>
        <CaseLegalEntityID>126680618</CaseLegalEntityID>
        <AuthenticationTypeID>4</AuthenticationTypeID>
        <AuthenticationTypeName>מ.ר.</AuthenticationTypeName>
        <LegalEntityNumber>58097</LegalEntityNumber>
        <IsMainPartyType>true</IsMainPartyType>
        <CaseDisplayIdentifier>39830-11-23</CaseDisplayIdentifier>
        <CaseTypeID>15</CaseTypeID>
        <CaseTypeName>תיק משפחה (תמ"ש)</CaseTypeName>
        <CaseName>זקן נ' דולב זקן</CaseName>
        <FullAddress>המלך דוד 22 ירושלים </FullAddress>
        <EmailAddress>basel@ism-law.com</EmailAddress>
        <MotionID>0</MotionID>
        <CasePleaID>0</CasePleaID>
        <LinkedCaseID>0</LinkedCaseID>
        <PartyID>1</PartyID>
        <CasePartyCategoryID>2</CasePartyCategoryID>
        <LegalEntityAddressID>81003030</LegalEntityAddressID>
        <LegalEntityEmailAddressID>67956358</LegalEntityEmailAddressID>
        <PleaTypeID>4</PleaTypeID>
        <LawyerOfficeName>משרד עו"ד  אסמעיל ושות'</LawyerOfficeName>
        <LawyerOfficeID>71211681</LawyerOfficeID>
        <GroupPartyAlias/>
        <IsConverted>false</IsConverted>
        <LegalEntityNameID>74202937</LegalEntityNameID>
        <RepresentatedNamesOfAssistant/>
        <LegalEntityTypeID>4</LegalEntityTypeID>
        <IsVerdictExists>false</IsVerdictExists>
        <IsAsirAzir>false</IsAsirAzir>
        <MainAndSecSpec/>
        <IsPublicationProhibited>false</IsPublicationProhibited>
        <PublicationProhibitedFullName>באסל אסמעיל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אורלי דולב</FullName>
        <FirstName>אורלי</FirstName>
        <LastName>דולב זקן</LastName>
        <PartyPropertyName/>
        <AuthenticationTypeAndNumber>ת"ז 302057179</AuthenticationTypeAndNumber>
        <RepresentatedOrRepresentativesNames>יוני ג'ורנו</RepresentatedOrRepresentativesNames>
        <RepresentatedOrRepresentativesCount>1</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262686134</CasePartyID>
        <PartyTypeID>1</PartyTypeID>
        <ActivityStatusID>1</ActivityStatusID>
        <PartyAliasID>2</PartyAliasID>
        <PartyAliasName>נתבע</PartyAliasName>
        <OrdinalNumber>1</OrdinalNumber>
        <LegalEntityID>81369762</LegalEntityID>
        <CaseLegalEntityID>126680619</CaseLegalEntityID>
        <AuthenticationTypeID>1</AuthenticationTypeID>
        <AuthenticationTypeName>ת"ז</AuthenticationTypeName>
        <LegalEntityNumber>302057179</LegalEntityNumber>
        <IsMainPartyType>true</IsMainPartyType>
        <CaseDisplayIdentifier>39830-11-23</CaseDisplayIdentifier>
        <CaseTypeID>15</CaseTypeID>
        <CaseTypeName>תיק משפחה (תמ"ש)</CaseTypeName>
        <CaseName>זקן נ' דולב זקן</CaseName>
        <FullAddress>שבזי 188 ראש העין </FullAddress>
        <MotionID>0</MotionID>
        <CasePleaID>0</CasePleaID>
        <FatherName>אברהם</FatherName>
        <LinkedCaseID>0</LinkedCaseID>
        <PartyID>2</PartyID>
        <CasePartyCategoryID>2</CasePartyCategoryID>
        <LegalEntityAddressID>88626905</LegalEntityAddressID>
        <PleaTypeID>4</PleaTypeID>
        <GroupPartyAlias>נתבעים</GroupPartyAlias>
        <IsConverted>false</IsConverted>
        <LegalEntityRegisteredNameID>10435075</LegalEntityRegisteredNameID>
        <LegalEntityNameID>95738991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דולב</PublicationProhibitedFullName>
      </CaseParties>
    </CasePartiesSelectionDS>
    <DecisionName>פסק דין  שניתנה ע"י  מיכל ברדנשטיין</DecisionName>
    <CourtDisplayName>בית משפט לענייני משפחה בירושלים</CourtDisplayName>
    <IsCaseJudgePanel>false</IsCaseJudgePanel>
    <DecisionSignatureDate>2024-07-08T19:32:01.3495688+03:00</DecisionSignatureDate>
    <OpenCaseDate>2023-11-19T14:29:00+02:00</OpenCaseDate>
    <CaseFeeSum>130000.000</CaseFeeSum>
    <DecisionTypeID>2</DecisionTypeID>
    <DecisionSignatureUserName>מיכל ברדנשטיין</DecisionSignatureUserName>
    <DecisionSignatureDateHebrew>2024-07-08T19:32:01.3495688+03:00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זקן נ' דולב זקן</CaseName>
    <DecisionNumberInCase>29</DecisionNumberInCase>
  </dt_Decision>
  <dt_DecisionCase>
    <DecisionID>0</DecisionID>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אבישג זקן ויסנברג</FullName>
        <FirstName>אבישג זקן</FirstName>
        <LastName>ויסנברג</LastName>
        <PartyPropertyName/>
        <AuthenticationTypeAndNumber>ת"ז 040094385</AuthenticationTypeAndNumber>
        <RepresentatedOrRepresentativesNames/>
        <RepresentatedOrRepresentativesCount>0</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268193048</CasePartyID>
        <PartyTypeID>4</PartyTypeID>
        <ActivityStatusID>1</ActivityStatusID>
        <PartyAliasID>61</PartyAliasID>
        <PartyAliasName>עד תביעה</PartyAliasName>
        <LegalEntityID>13079611</LegalEntityID>
        <CaseLegalEntityID>128300471</CaseLegalEntityID>
        <AuthenticationTypeID>1</AuthenticationTypeID>
        <AuthenticationTypeName>ת"ז</AuthenticationTypeName>
        <LegalEntityNumber>040094385</LegalEntityNumber>
        <IsMainPartyType>true</IsMainPartyType>
        <CaseDisplayIdentifier>39830-11-23</CaseDisplayIdentifier>
        <CaseTypeID>15</CaseTypeID>
        <CaseTypeName>תיק משפחה (תמ"ש)</CaseTypeName>
        <CaseName>זקן נ' דולב זקן</CaseName>
        <FullAddress>דוכיפת 45 מודיעין-מכבים-רעות* </FullAddress>
        <MotionID>0</MotionID>
        <CasePleaID>0</CasePleaID>
        <FatherName>אריה</FatherName>
        <LinkedCaseID>0</LinkedCaseID>
        <PartyID>1</PartyID>
        <CasePartyCategoryID>2</CasePartyCategoryID>
        <LegalEntityAddressID>89124246</LegalEntityAddressID>
        <PleaTypeID>4</PleaTypeID>
        <GroupPartyAlias/>
        <IsConverted>false</IsConverted>
        <LegalEntityNameID>96350707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אבישג זקן ויסנברג</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עמרי זקן</FullName>
        <FirstName>עמרי</FirstName>
        <LastName>זקן</LastName>
        <PartyPropertyName/>
        <AuthenticationTypeAndNumber>ת"ז </AuthenticationTypeAndNumber>
        <RepresentatedOrRepresentativesNames/>
        <RepresentatedOrRepresentativesCount>0</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268193291</CasePartyID>
        <PartyTypeID>4</PartyTypeID>
        <ActivityStatusID>1</ActivityStatusID>
        <PartyAliasID>101</PartyAliasID>
        <PartyAliasName>עד בית משפט</PartyAliasName>
        <LegalEntityID>81815496</LegalEntityID>
        <CaseLegalEntityID>128300531</CaseLegalEntityID>
        <AuthenticationTypeID>1</AuthenticationTypeID>
        <AuthenticationTypeName>ת"ז</AuthenticationTypeName>
        <IsMainPartyType>true</IsMainPartyType>
        <CaseDisplayIdentifier>39830-11-23</CaseDisplayIdentifier>
        <CaseTypeID>15</CaseTypeID>
        <CaseTypeName>תיק משפחה (תמ"ש)</CaseTypeName>
        <CaseName>זקן נ' דולב זקן</CaseName>
        <FullAddress>הארבל 3 אורנית </FullAddress>
        <MotionID>0</MotionID>
        <CasePleaID>0</CasePleaID>
        <LinkedCaseID>0</LinkedCaseID>
        <PartyID>1</PartyID>
        <CasePartyCategoryID>2</CasePartyCategoryID>
        <LegalEntityAddressID>89124267</LegalEntityAddressID>
        <PleaTypeID>4</PleaTypeID>
        <GroupPartyAlias/>
        <IsConverted>false</IsConverted>
        <LegalEntityNameID>96350728</LegalEntityNameID>
        <RepresentatedNamesOfAssistant/>
        <LegalEntityTypeID>1</LegalEntityTypeID>
        <IsVerdictExists>false</IsVerdictExists>
        <IsAsirAzir>false</IsAsirAzir>
        <MainAndSecSpec/>
        <IsPublicationProhibited>false</IsPublicationProhibited>
        <PublicationProhibitedFullName>עמרי זקן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יוני ג'ורנו</FullName>
        <FirstName>יוני</FirstName>
        <LastName>ג'ורנו</LastName>
        <PartyPropertyName/>
        <AuthenticationTypeAndNumber>מ.ר. 80045</AuthenticationTypeAndNumber>
        <RepresentatedOrRepresentativesNames>אורלי דולב</RepresentatedOrRepresentativesNames>
        <RepresentatedOrRepresentativesCount>1</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263200929</CasePartyID>
        <PartyTypeID>2</PartyTypeID>
        <ActivityStatusID>1</ActivityStatusID>
        <PartyAliasID>21</PartyAliasID>
        <PartyAliasName>בא כוח נתבעים</PartyAliasName>
        <LegalEntityID>76963225</LegalEntityID>
        <CaseLegalEntityID>126840390</CaseLegalEntityID>
        <AuthenticationTypeID>4</AuthenticationTypeID>
        <AuthenticationTypeName>מ.ר.</AuthenticationTypeName>
        <LegalEntityNumber>80045</LegalEntityNumber>
        <IsMainPartyType>true</IsMainPartyType>
        <CaseDisplayIdentifier>39830-11-23</CaseDisplayIdentifier>
        <CaseTypeID>15</CaseTypeID>
        <CaseTypeName>תיק משפחה (תמ"ש)</CaseTypeName>
        <CaseName>זקן נ' דולב זקן</CaseName>
        <FullAddress>גרינבוים 10/3 נתניה </FullAddress>
        <EmailAddress>yoniamit.law@gmail.com</EmailAddress>
        <MotionID>0</MotionID>
        <CasePleaID>0</CasePleaID>
        <LinkedCaseID>0</LinkedCaseID>
        <PartyID>2</PartyID>
        <CasePartyCategoryID>2</CasePartyCategoryID>
        <LegalEntityAddressID>84118376</LegalEntityAddressID>
        <LegalEntityEmailAddressID>68246086</LegalEntityEmailAddressID>
        <PleaTypeID>4</PleaTypeID>
        <LawyerOfficeName>יוני ג'רונו</LawyerOfficeName>
        <LawyerOfficeID>79097070</LawyerOfficeID>
        <GroupPartyAlias/>
        <IsConverted>false</IsConverted>
        <LegalEntityNameID>85189627</LegalEntityNameID>
        <RepresentatedNamesOfAssistant/>
        <LegalEntityTypeID>4</LegalEntityTypeID>
        <IsVerdictExists>false</IsVerdictExists>
        <IsAsirAzir>false</IsAsirAzir>
        <MainAndSecSpec/>
        <IsPublicationProhibited>false</IsPublicationProhibited>
        <PublicationProhibitedFullName>יוני ג'ורנו</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קרן שריקי</FullName>
        <FirstName>קרן</FirstName>
        <LastName>שריקי</LastName>
        <PartyPropertyName/>
        <AuthenticationTypeAndNumber>ת"ז 200060614</AuthenticationTypeAndNumber>
        <RepresentatedOrRepresentativesNames/>
        <RepresentatedOrRepresentativesCount>0</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268193635</CasePartyID>
        <PartyTypeID>4</PartyTypeID>
        <ActivityStatusID>1</ActivityStatusID>
        <PartyAliasID>62</PartyAliasID>
        <PartyAliasName>עד הגנה</PartyAliasName>
        <LegalEntityID>81815513</LegalEntityID>
        <CaseLegalEntityID>128300657</CaseLegalEntityID>
        <AuthenticationTypeID>1</AuthenticationTypeID>
        <AuthenticationTypeName>ת"ז</AuthenticationTypeName>
        <LegalEntityNumber>200060614</LegalEntityNumber>
        <IsMainPartyType>true</IsMainPartyType>
        <CaseDisplayIdentifier>39830-11-23</CaseDisplayIdentifier>
        <CaseTypeID>15</CaseTypeID>
        <CaseTypeName>תיק משפחה (תמ"ש)</CaseTypeName>
        <CaseName>זקן נ' דולב זקן</CaseName>
        <FullAddress>יחזקאל 20 חולון </FullAddress>
        <MotionID>0</MotionID>
        <CasePleaID>0</CasePleaID>
        <LinkedCaseID>0</LinkedCaseID>
        <PartyID>2</PartyID>
        <CasePartyCategoryID>2</CasePartyCategoryID>
        <LegalEntityAddressID>89124308</LegalEntityAddressID>
        <PleaTypeID>4</PleaTypeID>
        <GroupPartyAlias/>
        <IsConverted>false</IsConverted>
        <LegalEntityNameID>96350776</LegalEntityNameID>
        <RepresentatedNamesOfAssistant/>
        <LegalEntityTypeID>1</LegalEntityTypeID>
        <IsVerdictExists>false</IsVerdictExists>
        <IsAsirAzir>false</IsAsirAzir>
        <MainAndSecSpec/>
        <IsPublicationProhibited>false</IsPublicationProhibited>
        <PublicationProhibitedFullName>קרן שריקי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פלורה זקן</FullName>
        <FirstName>פלורה</FirstName>
        <LastName>זקן</LastName>
        <PartyPropertyName/>
        <AuthenticationTypeAndNumber>ת"ז 053621439</AuthenticationTypeAndNumber>
        <RepresentatedOrRepresentativesNames/>
        <RepresentatedOrRepresentativesCount>0</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268192730</CasePartyID>
        <PartyTypeID>4</PartyTypeID>
        <ActivityStatusID>1</ActivityStatusID>
        <PartyAliasID>101</PartyAliasID>
        <PartyAliasName>עד בית משפט</PartyAliasName>
        <OrdinalNumber>1</OrdinalNumber>
        <LegalEntityID>78224030</LegalEntityID>
        <CaseLegalEntityID>128300390</CaseLegalEntityID>
        <AuthenticationTypeID>1</AuthenticationTypeID>
        <AuthenticationTypeName>ת"ז</AuthenticationTypeName>
        <LegalEntityNumber>053621439</LegalEntityNumber>
        <IsMainPartyType>true</IsMainPartyType>
        <CaseDisplayIdentifier>39830-11-23</CaseDisplayIdentifier>
        <CaseTypeID>15</CaseTypeID>
        <CaseTypeName>תיק משפחה (תמ"ש)</CaseTypeName>
        <CaseName>זקן נ' דולב זקן</CaseName>
        <FullAddress>רמה 15 גבעת זאב </FullAddress>
        <MotionID>0</MotionID>
        <CasePleaID>0</CasePleaID>
        <FatherName>אברהם</FatherName>
        <LinkedCaseID>0</LinkedCaseID>
        <PartyID>1</PartyID>
        <CasePartyCategoryID>2</CasePartyCategoryID>
        <LegalEntityAddressID>89124256</LegalEntityAddressID>
        <PleaTypeID>4</PleaTypeID>
        <GroupPartyAlias/>
        <IsConverted>false</IsConverted>
        <LegalEntityRegisteredNameID>8690884</LegalEntityRegisteredNameID>
        <LegalEntityNameID>96350680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פלורה זקן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אריה זקן</FullName>
        <FirstName>אריה</FirstName>
        <LastName>זקן</LastName>
        <PartyPropertyName/>
        <AuthenticationTypeAndNumber>ת"ז 053614178</AuthenticationTypeAndNumber>
        <RepresentatedOrRepresentativesNames>באסל אסמעיל</RepresentatedOrRepresentativesNames>
        <RepresentatedOrRepresentativesCount>1</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262686132</CasePartyID>
        <PartyTypeID>1</PartyTypeID>
        <ActivityStatusID>1</ActivityStatusID>
        <PartyAliasID>1</PartyAliasID>
        <PartyAliasName>תובע</PartyAliasName>
        <OrdinalNumber>1</OrdinalNumber>
        <LegalEntityID>46291157</LegalEntityID>
        <CaseLegalEntityID>126680617</CaseLegalEntityID>
        <AuthenticationTypeID>1</AuthenticationTypeID>
        <AuthenticationTypeName>ת"ז</AuthenticationTypeName>
        <LegalEntityNumber>053614178</LegalEntityNumber>
        <IsMainPartyType>true</IsMainPartyType>
        <CaseDisplayIdentifier>39830-11-23</CaseDisplayIdentifier>
        <CaseTypeID>15</CaseTypeID>
        <CaseTypeName>תיק משפחה (תמ"ש)</CaseTypeName>
        <CaseName>זקן נ' דולב זקן</CaseName>
        <FullAddress>רמה 15 גבעת זאב </FullAddress>
        <MotionID>0</MotionID>
        <CasePleaID>0</CasePleaID>
        <FatherName>עבדל</FatherName>
        <LinkedCaseID>0</LinkedCaseID>
        <PartyID>1</PartyID>
        <CasePartyCategoryID>2</CasePartyCategoryID>
        <LegalEntityAddressID>88626904</LegalEntityAddressID>
        <PleaTypeID>4</PleaTypeID>
        <GroupPartyAlias>תובעים</GroupPartyAlias>
        <IsConverted>false</IsConverted>
        <LegalEntityRegisteredNameID>2427293</LegalEntityRegisteredNameID>
        <LegalEntityNameID>95738990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אריה זקן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באסל אסמעיל</FullName>
        <FirstName>באסל</FirstName>
        <LastName>אסמעיל</LastName>
        <PartyPropertyName/>
        <AuthenticationTypeAndNumber>מ.ר. 58097</AuthenticationTypeAndNumber>
        <RepresentatedOrRepresentativesNames>אריה זקן</RepresentatedOrRepresentativesNames>
        <RepresentatedOrRepresentativesCount>1</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262686133</CasePartyID>
        <PartyTypeID>2</PartyTypeID>
        <ActivityStatusID>1</ActivityStatusID>
        <PartyAliasID>20</PartyAliasID>
        <PartyAliasName>בא כוח תובעים</PartyAliasName>
        <OrdinalNumber>1</OrdinalNumber>
        <LegalEntityID>71211680</LegalEntityID>
        <CaseLegalEntityID>126680618</CaseLegalEntityID>
        <AuthenticationTypeID>4</AuthenticationTypeID>
        <AuthenticationTypeName>מ.ר.</AuthenticationTypeName>
        <LegalEntityNumber>58097</LegalEntityNumber>
        <IsMainPartyType>true</IsMainPartyType>
        <CaseDisplayIdentifier>39830-11-23</CaseDisplayIdentifier>
        <CaseTypeID>15</CaseTypeID>
        <CaseTypeName>תיק משפחה (תמ"ש)</CaseTypeName>
        <CaseName>זקן נ' דולב זקן</CaseName>
        <FullAddress>המלך דוד 22 ירושלים </FullAddress>
        <EmailAddress>basel@ism-law.com</EmailAddress>
        <MotionID>0</MotionID>
        <CasePleaID>0</CasePleaID>
        <LinkedCaseID>0</LinkedCaseID>
        <PartyID>1</PartyID>
        <CasePartyCategoryID>2</CasePartyCategoryID>
        <LegalEntityAddressID>81003030</LegalEntityAddressID>
        <LegalEntityEmailAddressID>67956358</LegalEntityEmailAddressID>
        <PleaTypeID>4</PleaTypeID>
        <LawyerOfficeName>משרד עו"ד  אסמעיל ושות'</LawyerOfficeName>
        <LawyerOfficeID>71211681</LawyerOfficeID>
        <GroupPartyAlias/>
        <IsConverted>false</IsConverted>
        <LegalEntityNameID>74202937</LegalEntityNameID>
        <RepresentatedNamesOfAssistant/>
        <LegalEntityTypeID>4</LegalEntityTypeID>
        <IsVerdictExists>false</IsVerdictExists>
        <IsAsirAzir>false</IsAsirAzir>
        <MainAndSecSpec/>
        <IsPublicationProhibited>false</IsPublicationProhibited>
        <PublicationProhibitedFullName>באסל אסמעיל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אורלי דולב</FullName>
        <FirstName>אורלי</FirstName>
        <LastName>דולב זקן</LastName>
        <PartyPropertyName/>
        <AuthenticationTypeAndNumber>ת"ז 302057179</AuthenticationTypeAndNumber>
        <RepresentatedOrRepresentativesNames>יוני ג'ורנו</RepresentatedOrRepresentativesNames>
        <RepresentatedOrRepresentativesCount>1</RepresentatedOrRepresentativesCount>
        <InvitedBy/>
        <CaseID>80764140</CaseID>
        <CaseJudicialPersonPresentationDS>
          <CaseJudicalPersonActive>
            <CaseID>80764140</CaseID>
            <JudicialPersonID>058463142@GOV.IL</JudicialPersonID>
            <JudicialPersonTypeID>1</JudicialPersonTypeID>
            <JudicialTypeID>1</JudicialTypeID>
            <IsChairman>false</IsChairman>
            <TreatmentStartDate>2023-11-20T07:53:06.927+02:00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262686134</CasePartyID>
        <PartyTypeID>1</PartyTypeID>
        <ActivityStatusID>1</ActivityStatusID>
        <PartyAliasID>2</PartyAliasID>
        <PartyAliasName>נתבע</PartyAliasName>
        <OrdinalNumber>1</OrdinalNumber>
        <LegalEntityID>81369762</LegalEntityID>
        <CaseLegalEntityID>126680619</CaseLegalEntityID>
        <AuthenticationTypeID>1</AuthenticationTypeID>
        <AuthenticationTypeName>ת"ז</AuthenticationTypeName>
        <LegalEntityNumber>302057179</LegalEntityNumber>
        <IsMainPartyType>true</IsMainPartyType>
        <CaseDisplayIdentifier>39830-11-23</CaseDisplayIdentifier>
        <CaseTypeID>15</CaseTypeID>
        <CaseTypeName>תיק משפחה (תמ"ש)</CaseTypeName>
        <CaseName>זקן נ' דולב זקן</CaseName>
        <FullAddress>שבזי 188 ראש העין </FullAddress>
        <MotionID>0</MotionID>
        <CasePleaID>0</CasePleaID>
        <FatherName>אברהם</FatherName>
        <LinkedCaseID>0</LinkedCaseID>
        <PartyID>2</PartyID>
        <CasePartyCategoryID>2</CasePartyCategoryID>
        <LegalEntityAddressID>88626905</LegalEntityAddressID>
        <PleaTypeID>4</PleaTypeID>
        <GroupPartyAlias>נתבעים</GroupPartyAlias>
        <IsConverted>false</IsConverted>
        <LegalEntityRegisteredNameID>10435075</LegalEntityRegisteredNameID>
        <LegalEntityNameID>95738991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דולב</PublicationProhibitedFullName>
      </CaseParties>
    </CasePartiesSelectionDS>
    <CaseName>זקן נ' דולב זקן</CaseName>
    <CaseDisplayIdentifier>39830-11-23</CaseDisplayIdentifier>
    <CaseInterestID>10115</CaseInterestID>
    <CaseTypeShortName>תמ"ש</CaseTypeShortName>
  </dt_DecisionCase>
  <dt_DecisionJudgePanel>
    <JudgeID>058463142@GOV.IL</JudgeID>
    <DisplayName>מיכל ברדנשטיין</DisplayName>
    <RoleName>שופט</RoleName>
    <UserTitleName>שופטת</UserTitleName>
  </dt_DecisionJudgePanel>
  <dt_LegalEntityDetails>
    <Fax>09-7887475</Fax>
    <Phone>09-7887474</Phone>
    <PartyID>2</PartyID>
    <PartyTypeID>2</PartyTypeID>
    <DecisionID>0</DecisionID>
    <StreetName>גרינבוים 10/3</StreetName>
    <ZipCode>4246510</ZipCode>
    <CityName>נתניה</CityName>
    <FullName>יוני ג'ורנו</FullName>
    <Email>yoniamit.law@gmail.com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רמה 15</StreetName>
    <CityName>גבעת זאב</CityName>
    <FullName>אריה זקן</FullName>
    <IsPublicationProhibited>false</IsPublicationProhibited>
  </dt_LegalEntityDetails>
  <dt_LegalEntityDetails>
    <Fax>073-3322405</Fax>
    <Phone>073-3322404</Phone>
    <AddressDesc/>
    <PartyID>1</PartyID>
    <PartyTypeID>2</PartyTypeID>
    <DecisionID>0</DecisionID>
    <StreetName>המלך דוד 22</StreetName>
    <ZipCode>9410146</ZipCode>
    <CityName>ירושלים</CityName>
    <FullName>באסל אסמעיל</FullName>
    <Email>basel@ism-law.com</Email>
    <IsPublicationProhibited>false</IsPublicationProhibited>
  </dt_LegalEntityDetails>
  <dt_LegalEntityDetails>
    <PartyID>2</PartyID>
    <PartyTypeID>1</PartyTypeID>
    <DecisionID>0</DecisionID>
    <StreetName>שבזי 188</StreetName>
    <CityName>ראש העין</CityName>
    <FullName>אורלי דולב</FullName>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מיכל ברדנשטיין</CaseJudicalPerson>
  </dt_CaseJudicalPersonActive>
  <dt_Sitting>
    <PreviousMeetingDate>2024-07-04T09:00:00+03:00</PreviousMeetingDate>
    <PreviousSittingTypeID>2</PreviousSittingTypeID>
    <PreviousMeetingDisplayName>שופטת מיכל ברדנשטיין</PreviousMeetingDisplayName>
    <PreviousMeetingRoleName>שופט</PreviousMeetingRoleName>
    <PreviousMeetingUserTitleName>שופטת</PreviousMeetingUserTitleName>
    <PreviousMeetingUserUPN>058463142@GOV.IL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ABD03-D37C-4FEC-A005-0A2E00F168E9}">
  <ds:schemaRefs/>
</ds:datastoreItem>
</file>

<file path=customXml/itemProps2.xml><?xml version="1.0" encoding="utf-8"?>
<ds:datastoreItem xmlns:ds="http://schemas.openxmlformats.org/officeDocument/2006/customXml" ds:itemID="{5FEFAB2B-28FD-40B3-9D9C-FF29E3BE1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9732</Words>
  <Characters>48660</Characters>
  <Application>Microsoft Office Word</Application>
  <DocSecurity>0</DocSecurity>
  <Lines>405</Lines>
  <Paragraphs>116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2024-07-28T08:39:00Z</dcterms:created>
  <dcterms:modified xsi:type="dcterms:W3CDTF">2024-07-28T08:39:00Z</dcterms:modified>
</cp:coreProperties>
</file>